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09" w:rsidRPr="00551F6B" w:rsidRDefault="006F6481">
      <w:pPr>
        <w:rPr>
          <w:sz w:val="24"/>
          <w:szCs w:val="24"/>
          <w:highlight w:val="yellow"/>
        </w:rPr>
      </w:pPr>
      <w:r w:rsidRPr="00551F6B">
        <w:rPr>
          <w:sz w:val="24"/>
          <w:szCs w:val="24"/>
          <w:highlight w:val="yellow"/>
        </w:rPr>
        <w:t>Dear all</w:t>
      </w:r>
    </w:p>
    <w:p w:rsidR="006F6481" w:rsidRPr="00551F6B" w:rsidRDefault="006F6481">
      <w:pPr>
        <w:rPr>
          <w:sz w:val="24"/>
          <w:szCs w:val="24"/>
          <w:highlight w:val="yellow"/>
        </w:rPr>
      </w:pPr>
    </w:p>
    <w:p w:rsidR="00773AC3" w:rsidRPr="00551F6B" w:rsidRDefault="006F6481">
      <w:pPr>
        <w:rPr>
          <w:sz w:val="24"/>
          <w:szCs w:val="24"/>
          <w:highlight w:val="yellow"/>
        </w:rPr>
      </w:pPr>
      <w:r w:rsidRPr="00551F6B">
        <w:rPr>
          <w:sz w:val="24"/>
          <w:szCs w:val="24"/>
          <w:highlight w:val="yellow"/>
        </w:rPr>
        <w:t xml:space="preserve">As of Last Friday, the Department </w:t>
      </w:r>
      <w:r w:rsidR="00773AC3" w:rsidRPr="00551F6B">
        <w:rPr>
          <w:sz w:val="24"/>
          <w:szCs w:val="24"/>
          <w:highlight w:val="yellow"/>
        </w:rPr>
        <w:t xml:space="preserve">released the last part </w:t>
      </w:r>
      <w:proofErr w:type="gramStart"/>
      <w:r w:rsidR="00773AC3" w:rsidRPr="00551F6B">
        <w:rPr>
          <w:sz w:val="24"/>
          <w:szCs w:val="24"/>
          <w:highlight w:val="yellow"/>
        </w:rPr>
        <w:t>of its 2011-12 Student Financial Aid Handbook (SFA-HB)</w:t>
      </w:r>
      <w:proofErr w:type="gramEnd"/>
      <w:r w:rsidR="00773AC3" w:rsidRPr="00551F6B">
        <w:rPr>
          <w:sz w:val="24"/>
          <w:szCs w:val="24"/>
          <w:highlight w:val="yellow"/>
        </w:rPr>
        <w:t>.</w:t>
      </w:r>
    </w:p>
    <w:p w:rsidR="00773AC3" w:rsidRPr="00551F6B" w:rsidRDefault="00773AC3">
      <w:pPr>
        <w:rPr>
          <w:sz w:val="24"/>
          <w:szCs w:val="24"/>
          <w:highlight w:val="yellow"/>
        </w:rPr>
      </w:pPr>
    </w:p>
    <w:p w:rsidR="00773AC3" w:rsidRPr="00551F6B" w:rsidRDefault="00773AC3">
      <w:pPr>
        <w:rPr>
          <w:sz w:val="24"/>
          <w:szCs w:val="24"/>
          <w:highlight w:val="yellow"/>
        </w:rPr>
      </w:pPr>
      <w:r w:rsidRPr="00551F6B">
        <w:rPr>
          <w:sz w:val="24"/>
          <w:szCs w:val="24"/>
          <w:highlight w:val="yellow"/>
        </w:rPr>
        <w:t>The entire publication is marked with NEW notes in all of its sections.</w:t>
      </w:r>
    </w:p>
    <w:p w:rsidR="00773AC3" w:rsidRPr="00551F6B" w:rsidRDefault="00773AC3">
      <w:pPr>
        <w:rPr>
          <w:sz w:val="24"/>
          <w:szCs w:val="24"/>
          <w:highlight w:val="yellow"/>
        </w:rPr>
      </w:pPr>
    </w:p>
    <w:p w:rsidR="00002988" w:rsidRPr="00551F6B" w:rsidRDefault="00773AC3">
      <w:pPr>
        <w:rPr>
          <w:sz w:val="24"/>
          <w:szCs w:val="24"/>
          <w:highlight w:val="yellow"/>
        </w:rPr>
      </w:pPr>
      <w:r w:rsidRPr="00551F6B">
        <w:rPr>
          <w:sz w:val="24"/>
          <w:szCs w:val="24"/>
          <w:highlight w:val="yellow"/>
        </w:rPr>
        <w:t>However, pages 5-92 – 5-</w:t>
      </w:r>
      <w:r w:rsidR="00002988" w:rsidRPr="00551F6B">
        <w:rPr>
          <w:sz w:val="24"/>
          <w:szCs w:val="24"/>
          <w:highlight w:val="yellow"/>
        </w:rPr>
        <w:t>101 are significantly marked as new since the new approach to modules is introduced in this publication.</w:t>
      </w:r>
    </w:p>
    <w:p w:rsidR="00002988" w:rsidRPr="00551F6B" w:rsidRDefault="00002988">
      <w:pPr>
        <w:rPr>
          <w:sz w:val="24"/>
          <w:szCs w:val="24"/>
          <w:highlight w:val="yellow"/>
        </w:rPr>
      </w:pPr>
    </w:p>
    <w:p w:rsidR="00002988" w:rsidRPr="00551F6B" w:rsidRDefault="00002988">
      <w:pPr>
        <w:rPr>
          <w:sz w:val="24"/>
          <w:szCs w:val="24"/>
          <w:highlight w:val="yellow"/>
        </w:rPr>
      </w:pPr>
      <w:r w:rsidRPr="00551F6B">
        <w:rPr>
          <w:sz w:val="24"/>
          <w:szCs w:val="24"/>
          <w:highlight w:val="yellow"/>
        </w:rPr>
        <w:t>RGM in prior emails to its clients have covered this issue, however, since it is now published on the SFA-HB, we believe that is worth to revisit these new requirements in reference to all courses that are though in modules.</w:t>
      </w:r>
    </w:p>
    <w:p w:rsidR="006F6481" w:rsidRPr="00551F6B" w:rsidRDefault="006F6481">
      <w:pPr>
        <w:rPr>
          <w:sz w:val="24"/>
          <w:szCs w:val="24"/>
          <w:highlight w:val="yellow"/>
        </w:rPr>
      </w:pPr>
    </w:p>
    <w:p w:rsidR="00002988" w:rsidRDefault="00002988">
      <w:pPr>
        <w:rPr>
          <w:sz w:val="24"/>
          <w:szCs w:val="24"/>
        </w:rPr>
      </w:pPr>
      <w:r w:rsidRPr="00551F6B">
        <w:rPr>
          <w:sz w:val="24"/>
          <w:szCs w:val="24"/>
          <w:highlight w:val="yellow"/>
        </w:rPr>
        <w:t>Extracted from pages 5-</w:t>
      </w:r>
      <w:proofErr w:type="gramStart"/>
      <w:r w:rsidRPr="00551F6B">
        <w:rPr>
          <w:sz w:val="24"/>
          <w:szCs w:val="24"/>
          <w:highlight w:val="yellow"/>
        </w:rPr>
        <w:t>92  (</w:t>
      </w:r>
      <w:proofErr w:type="gramEnd"/>
      <w:r w:rsidRPr="00551F6B">
        <w:rPr>
          <w:sz w:val="24"/>
          <w:szCs w:val="24"/>
          <w:highlight w:val="yellow"/>
        </w:rPr>
        <w:t>2011-12 SFA-HB)</w:t>
      </w:r>
    </w:p>
    <w:p w:rsidR="00002988" w:rsidRDefault="00002988">
      <w:pPr>
        <w:rPr>
          <w:sz w:val="24"/>
          <w:szCs w:val="24"/>
        </w:rPr>
      </w:pPr>
    </w:p>
    <w:p w:rsidR="00002988" w:rsidRDefault="00002988" w:rsidP="00002988">
      <w:pPr>
        <w:pStyle w:val="Pa14"/>
        <w:spacing w:after="120"/>
        <w:rPr>
          <w:rFonts w:cs="Myriad Pro"/>
          <w:bCs/>
          <w:color w:val="B05C0F"/>
          <w:sz w:val="28"/>
          <w:szCs w:val="28"/>
        </w:rPr>
      </w:pPr>
      <w:r>
        <w:rPr>
          <w:rFonts w:cs="Myriad Pro"/>
          <w:b/>
          <w:i/>
          <w:iCs/>
          <w:color w:val="B05C0F"/>
          <w:sz w:val="28"/>
          <w:szCs w:val="28"/>
        </w:rPr>
        <w:t xml:space="preserve">Withdrawals from programs offered in modules </w:t>
      </w:r>
    </w:p>
    <w:p w:rsidR="00002988" w:rsidRDefault="00002988" w:rsidP="00002988">
      <w:pPr>
        <w:rPr>
          <w:sz w:val="24"/>
          <w:szCs w:val="24"/>
        </w:rPr>
      </w:pPr>
      <w:r>
        <w:rPr>
          <w:rFonts w:ascii="Minion Pro" w:hAnsi="Minion Pro" w:cs="Minion Pro"/>
          <w:bCs/>
          <w:color w:val="221E1F"/>
          <w:sz w:val="23"/>
          <w:szCs w:val="23"/>
        </w:rPr>
        <w:t>Previously, under guidance provided in Dear Colleague Letter GEN-00-24, if a student attending a standard, term-based program of</w:t>
      </w:r>
      <w:r>
        <w:rPr>
          <w:rFonts w:ascii="Minion Pro" w:hAnsi="Minion Pro" w:cs="Minion Pro"/>
          <w:bCs/>
          <w:color w:val="221E1F"/>
          <w:sz w:val="23"/>
          <w:szCs w:val="23"/>
        </w:rPr>
        <w:softHyphen/>
        <w:t>fered in modules ceased attendance after completing one module, the stu</w:t>
      </w:r>
      <w:r>
        <w:rPr>
          <w:rFonts w:ascii="Minion Pro" w:hAnsi="Minion Pro" w:cs="Minion Pro"/>
          <w:bCs/>
          <w:color w:val="221E1F"/>
          <w:sz w:val="23"/>
          <w:szCs w:val="23"/>
        </w:rPr>
        <w:softHyphen/>
        <w:t>dent was not considered to have withdrawn, and the school was not re</w:t>
      </w:r>
      <w:r>
        <w:rPr>
          <w:rFonts w:ascii="Minion Pro" w:hAnsi="Minion Pro" w:cs="Minion Pro"/>
          <w:bCs/>
          <w:color w:val="221E1F"/>
          <w:sz w:val="23"/>
          <w:szCs w:val="23"/>
        </w:rPr>
        <w:softHyphen/>
        <w:t>quired to perform a Return calculation. This is no longer the case. Under the October 29, 2010, final regulations, for all programs offered in mod</w:t>
      </w:r>
      <w:r>
        <w:rPr>
          <w:rFonts w:ascii="Minion Pro" w:hAnsi="Minion Pro" w:cs="Minion Pro"/>
          <w:bCs/>
          <w:color w:val="221E1F"/>
          <w:sz w:val="23"/>
          <w:szCs w:val="23"/>
        </w:rPr>
        <w:softHyphen/>
        <w:t>ules, a student is a withdrawal for Title IV purposes if the student ceases attendance at any point prior to completing the payment period or period of enrollment, unless the school obtains written confirmation from the student at the time of the withdrawal that he or she will attend a module that begins later in the same payment period or period of enrollment</w:t>
      </w:r>
    </w:p>
    <w:p w:rsidR="00002988" w:rsidRDefault="00002988">
      <w:pPr>
        <w:rPr>
          <w:rFonts w:cs="Minion Pro"/>
          <w:color w:val="221E1F"/>
          <w:sz w:val="23"/>
          <w:szCs w:val="23"/>
        </w:rPr>
      </w:pPr>
    </w:p>
    <w:p w:rsidR="00002988" w:rsidRDefault="00002988">
      <w:pPr>
        <w:rPr>
          <w:sz w:val="24"/>
          <w:szCs w:val="24"/>
        </w:rPr>
      </w:pPr>
      <w:r>
        <w:rPr>
          <w:rFonts w:cs="Minion Pro"/>
          <w:color w:val="221E1F"/>
          <w:sz w:val="23"/>
          <w:szCs w:val="23"/>
        </w:rPr>
        <w:t xml:space="preserve">In addition, for a student in a </w:t>
      </w:r>
      <w:proofErr w:type="spellStart"/>
      <w:r>
        <w:rPr>
          <w:rFonts w:cs="Minion Pro"/>
          <w:color w:val="221E1F"/>
          <w:sz w:val="23"/>
          <w:szCs w:val="23"/>
        </w:rPr>
        <w:t>nonterm</w:t>
      </w:r>
      <w:proofErr w:type="spellEnd"/>
      <w:r>
        <w:rPr>
          <w:rFonts w:cs="Minion Pro"/>
          <w:color w:val="221E1F"/>
          <w:sz w:val="23"/>
          <w:szCs w:val="23"/>
        </w:rPr>
        <w:t xml:space="preserve"> or nonstandard-term pro</w:t>
      </w:r>
      <w:r>
        <w:rPr>
          <w:rFonts w:cs="Minion Pro"/>
          <w:color w:val="221E1F"/>
          <w:sz w:val="23"/>
          <w:szCs w:val="23"/>
        </w:rPr>
        <w:softHyphen/>
        <w:t>gram offered in modules, a student is considered to have withdrawn from the program if the student is not scheduled to begin another course with</w:t>
      </w:r>
      <w:r>
        <w:rPr>
          <w:rFonts w:cs="Minion Pro"/>
          <w:color w:val="221E1F"/>
          <w:sz w:val="23"/>
          <w:szCs w:val="23"/>
        </w:rPr>
        <w:softHyphen/>
        <w:t xml:space="preserve">in the payment period or period of enrollment for more than 45 calendar days after the end of the module the student ceased attending, unless the student is on an approved leave of absence. So, for a student in a </w:t>
      </w:r>
      <w:proofErr w:type="spellStart"/>
      <w:r>
        <w:rPr>
          <w:rFonts w:cs="Minion Pro"/>
          <w:color w:val="221E1F"/>
          <w:sz w:val="23"/>
          <w:szCs w:val="23"/>
        </w:rPr>
        <w:t>nonterm</w:t>
      </w:r>
      <w:proofErr w:type="spellEnd"/>
      <w:r>
        <w:rPr>
          <w:rFonts w:cs="Minion Pro"/>
          <w:color w:val="221E1F"/>
          <w:sz w:val="23"/>
          <w:szCs w:val="23"/>
        </w:rPr>
        <w:t xml:space="preserve"> or nonstandard term program offered in modules who ceases attendance, the student is a withdrawal for Title IV purposes unless the school obtains written confirmation from the student at the time of the withdrawal that he or she will attend a module that begins later in the same payment pe</w:t>
      </w:r>
      <w:r>
        <w:rPr>
          <w:rFonts w:cs="Minion Pro"/>
          <w:color w:val="221E1F"/>
          <w:sz w:val="23"/>
          <w:szCs w:val="23"/>
        </w:rPr>
        <w:softHyphen/>
        <w:t>riod or period of enrollment, provided the later module the student will attend begins no later than 45 calendar days after the end of the module the student ceased attending.</w:t>
      </w:r>
    </w:p>
    <w:p w:rsidR="00002988" w:rsidRDefault="00002988">
      <w:pPr>
        <w:rPr>
          <w:sz w:val="24"/>
          <w:szCs w:val="24"/>
        </w:rPr>
      </w:pPr>
    </w:p>
    <w:p w:rsidR="00002988" w:rsidRDefault="00002988">
      <w:pPr>
        <w:rPr>
          <w:sz w:val="24"/>
          <w:szCs w:val="24"/>
        </w:rPr>
      </w:pPr>
      <w:r>
        <w:rPr>
          <w:rFonts w:cs="Minion Pro"/>
          <w:color w:val="221E1F"/>
          <w:sz w:val="23"/>
          <w:szCs w:val="23"/>
        </w:rPr>
        <w:t>If a school obtains a written confirmation of future attendance but the student does not return as scheduled, the student is considered to have withdrawn from the payment period or period of enrollment and the student’s withdrawal date and the total number of calendar days in the payment period or period of enrollment would be the withdrawal date and total number of calendar days that would have applied if the stu</w:t>
      </w:r>
      <w:r>
        <w:rPr>
          <w:rFonts w:cs="Minion Pro"/>
          <w:color w:val="221E1F"/>
          <w:sz w:val="23"/>
          <w:szCs w:val="23"/>
        </w:rPr>
        <w:softHyphen/>
        <w:t>dent had not provided written confirmation of future attendance.</w:t>
      </w:r>
    </w:p>
    <w:p w:rsidR="00002988" w:rsidRDefault="00002988">
      <w:pPr>
        <w:rPr>
          <w:sz w:val="24"/>
          <w:szCs w:val="24"/>
        </w:rPr>
      </w:pPr>
    </w:p>
    <w:p w:rsidR="00002988" w:rsidRDefault="00002988">
      <w:pPr>
        <w:rPr>
          <w:sz w:val="24"/>
          <w:szCs w:val="24"/>
        </w:rPr>
      </w:pPr>
    </w:p>
    <w:p w:rsidR="00002988" w:rsidRDefault="00002988">
      <w:pPr>
        <w:rPr>
          <w:sz w:val="24"/>
          <w:szCs w:val="24"/>
        </w:rPr>
      </w:pPr>
    </w:p>
    <w:p w:rsidR="00002988" w:rsidRDefault="00002988">
      <w:pPr>
        <w:rPr>
          <w:sz w:val="24"/>
          <w:szCs w:val="24"/>
        </w:rPr>
      </w:pPr>
    </w:p>
    <w:p w:rsidR="00002988" w:rsidRDefault="00002988">
      <w:pPr>
        <w:rPr>
          <w:sz w:val="24"/>
          <w:szCs w:val="24"/>
        </w:rPr>
      </w:pPr>
    </w:p>
    <w:p w:rsidR="00712582" w:rsidRDefault="00712582" w:rsidP="00712582">
      <w:pPr>
        <w:rPr>
          <w:sz w:val="24"/>
          <w:szCs w:val="24"/>
        </w:rPr>
      </w:pPr>
      <w:r>
        <w:rPr>
          <w:sz w:val="24"/>
          <w:szCs w:val="24"/>
        </w:rPr>
        <w:lastRenderedPageBreak/>
        <w:t>Extracted from pages 5-</w:t>
      </w:r>
      <w:proofErr w:type="gramStart"/>
      <w:r>
        <w:rPr>
          <w:sz w:val="24"/>
          <w:szCs w:val="24"/>
        </w:rPr>
        <w:t>93  (</w:t>
      </w:r>
      <w:proofErr w:type="gramEnd"/>
      <w:r>
        <w:rPr>
          <w:sz w:val="24"/>
          <w:szCs w:val="24"/>
        </w:rPr>
        <w:t>2011-12 SFA-HB)</w:t>
      </w:r>
    </w:p>
    <w:p w:rsidR="006D34D6" w:rsidRDefault="006D34D6">
      <w:pPr>
        <w:rPr>
          <w:sz w:val="24"/>
          <w:szCs w:val="24"/>
        </w:rPr>
      </w:pPr>
    </w:p>
    <w:p w:rsidR="006D34D6" w:rsidRDefault="006D34D6" w:rsidP="006D34D6">
      <w:pPr>
        <w:pStyle w:val="Pa22"/>
        <w:spacing w:after="260"/>
        <w:rPr>
          <w:rFonts w:cs="Myriad Pro Light"/>
          <w:bCs/>
          <w:color w:val="B05C0F"/>
          <w:sz w:val="26"/>
          <w:szCs w:val="26"/>
        </w:rPr>
      </w:pPr>
      <w:r>
        <w:rPr>
          <w:rFonts w:cs="Myriad Pro Light"/>
          <w:b/>
          <w:color w:val="B05C0F"/>
          <w:sz w:val="26"/>
          <w:szCs w:val="26"/>
        </w:rPr>
        <w:t xml:space="preserve">Determining if a program is offered in modules </w:t>
      </w:r>
    </w:p>
    <w:p w:rsidR="00002988" w:rsidRDefault="006D34D6" w:rsidP="006D34D6">
      <w:pPr>
        <w:rPr>
          <w:sz w:val="24"/>
          <w:szCs w:val="24"/>
        </w:rPr>
      </w:pPr>
      <w:r>
        <w:rPr>
          <w:rFonts w:ascii="Minion Pro" w:hAnsi="Minion Pro" w:cs="Minion Pro"/>
          <w:bCs/>
          <w:color w:val="221E1F"/>
          <w:sz w:val="23"/>
          <w:szCs w:val="23"/>
        </w:rPr>
        <w:t>A program is offered in modules if, for a payment period or period of enrollment, a course or courses in the program do not span the entire length of the payment period or period of enrollment. The determination of whether a program is offered in modules is made on a payment peri</w:t>
      </w:r>
      <w:r>
        <w:rPr>
          <w:rFonts w:ascii="Minion Pro" w:hAnsi="Minion Pro" w:cs="Minion Pro"/>
          <w:bCs/>
          <w:color w:val="221E1F"/>
          <w:sz w:val="23"/>
          <w:szCs w:val="23"/>
        </w:rPr>
        <w:softHyphen/>
        <w:t>od-by-payment period or period of enrollment-by-period of enrollment basis, as appropriate, and is student specific. So, while some payment pe</w:t>
      </w:r>
      <w:r>
        <w:rPr>
          <w:rFonts w:ascii="Minion Pro" w:hAnsi="Minion Pro" w:cs="Minion Pro"/>
          <w:bCs/>
          <w:color w:val="221E1F"/>
          <w:sz w:val="23"/>
          <w:szCs w:val="23"/>
        </w:rPr>
        <w:softHyphen/>
        <w:t>riods or periods of enrollment in a student’s program may be considered to be offered in modules, others may not. If all the courses in a program for a particular payment period or period of enrollment, as applicable, span the entire length of the period, the program is never considered to be offered in modules for that period for any student who withdraws dur</w:t>
      </w:r>
      <w:r>
        <w:rPr>
          <w:rFonts w:ascii="Minion Pro" w:hAnsi="Minion Pro" w:cs="Minion Pro"/>
          <w:bCs/>
          <w:color w:val="221E1F"/>
          <w:sz w:val="23"/>
          <w:szCs w:val="23"/>
        </w:rPr>
        <w:softHyphen/>
        <w:t>ing the period.</w:t>
      </w:r>
    </w:p>
    <w:p w:rsidR="00002988" w:rsidRDefault="00002988">
      <w:pPr>
        <w:rPr>
          <w:sz w:val="24"/>
          <w:szCs w:val="24"/>
        </w:rPr>
      </w:pPr>
    </w:p>
    <w:p w:rsidR="006D34D6" w:rsidRDefault="009B4521">
      <w:pPr>
        <w:rPr>
          <w:sz w:val="24"/>
          <w:szCs w:val="24"/>
        </w:rPr>
      </w:pPr>
      <w:r>
        <w:rPr>
          <w:rFonts w:cs="Minion Pro"/>
          <w:color w:val="221E1F"/>
          <w:sz w:val="23"/>
          <w:szCs w:val="23"/>
        </w:rPr>
        <w:t>Conversely, if none of the courses in a program for a particular pay</w:t>
      </w:r>
      <w:r>
        <w:rPr>
          <w:rFonts w:cs="Minion Pro"/>
          <w:color w:val="221E1F"/>
          <w:sz w:val="23"/>
          <w:szCs w:val="23"/>
        </w:rPr>
        <w:softHyphen/>
        <w:t>ment period or period of enrollment span the entire length of the period, the program is always considered to be offered in modules for that period for any student who withdraws during the period. If some courses in the program for a particular payment period or period of enrollment span the entire length of the period but some do not, the program is considered to be offered in modules only for those students who are scheduled to attend at least one course that does not span the entire length of the period, and withdraw during the period.</w:t>
      </w:r>
    </w:p>
    <w:p w:rsidR="006D34D6" w:rsidRDefault="006D34D6">
      <w:pPr>
        <w:rPr>
          <w:sz w:val="24"/>
          <w:szCs w:val="24"/>
        </w:rPr>
      </w:pPr>
    </w:p>
    <w:p w:rsidR="00593B8C" w:rsidRDefault="00593B8C" w:rsidP="00593B8C">
      <w:pPr>
        <w:rPr>
          <w:sz w:val="24"/>
          <w:szCs w:val="24"/>
        </w:rPr>
      </w:pPr>
      <w:r>
        <w:rPr>
          <w:sz w:val="24"/>
          <w:szCs w:val="24"/>
        </w:rPr>
        <w:t>Extracted from pages 5-94 (2011-12 SFA-HB)</w:t>
      </w:r>
    </w:p>
    <w:p w:rsidR="00712582" w:rsidRDefault="00712582">
      <w:pPr>
        <w:rPr>
          <w:sz w:val="24"/>
          <w:szCs w:val="24"/>
        </w:rPr>
      </w:pPr>
    </w:p>
    <w:p w:rsidR="009B4521" w:rsidRDefault="009B4521" w:rsidP="009B4521">
      <w:pPr>
        <w:pStyle w:val="Pa22"/>
        <w:spacing w:after="260"/>
        <w:rPr>
          <w:rFonts w:cs="Myriad Pro Light"/>
          <w:bCs/>
          <w:color w:val="B05C0F"/>
          <w:sz w:val="26"/>
          <w:szCs w:val="26"/>
        </w:rPr>
      </w:pPr>
      <w:r>
        <w:rPr>
          <w:rFonts w:cs="Myriad Pro Light"/>
          <w:b/>
          <w:color w:val="B05C0F"/>
          <w:sz w:val="26"/>
          <w:szCs w:val="26"/>
        </w:rPr>
        <w:t xml:space="preserve">How to determine whether a student in a program offered in modules has withdrawn </w:t>
      </w:r>
    </w:p>
    <w:p w:rsidR="009B4521" w:rsidRDefault="009B4521" w:rsidP="009B4521">
      <w:pPr>
        <w:pStyle w:val="Pa43"/>
        <w:spacing w:after="260"/>
        <w:ind w:left="360"/>
        <w:rPr>
          <w:rFonts w:ascii="Minion Pro" w:hAnsi="Minion Pro" w:cs="Minion Pro"/>
          <w:bCs/>
          <w:color w:val="221E1F"/>
          <w:sz w:val="23"/>
          <w:szCs w:val="23"/>
        </w:rPr>
      </w:pPr>
      <w:r>
        <w:rPr>
          <w:rFonts w:ascii="Minion Pro" w:hAnsi="Minion Pro" w:cs="Minion Pro"/>
          <w:bCs/>
          <w:color w:val="221E1F"/>
          <w:sz w:val="23"/>
          <w:szCs w:val="23"/>
        </w:rPr>
        <w:t xml:space="preserve">Schools can determine whether a student enrolled in a series of modules is a withdrawal by asking the following questions. </w:t>
      </w:r>
    </w:p>
    <w:p w:rsidR="009B4521" w:rsidRDefault="009B4521" w:rsidP="009B4521">
      <w:pPr>
        <w:pStyle w:val="Pa24"/>
        <w:spacing w:after="120"/>
        <w:ind w:left="1080" w:hanging="360"/>
        <w:rPr>
          <w:rFonts w:ascii="Minion Pro" w:hAnsi="Minion Pro" w:cs="Minion Pro"/>
          <w:bCs/>
          <w:color w:val="221E1F"/>
          <w:sz w:val="23"/>
          <w:szCs w:val="23"/>
        </w:rPr>
      </w:pPr>
      <w:r>
        <w:rPr>
          <w:rStyle w:val="A9"/>
          <w:bCs/>
        </w:rPr>
        <w:t xml:space="preserve">1) </w:t>
      </w:r>
      <w:r>
        <w:rPr>
          <w:rFonts w:ascii="Minion Pro" w:hAnsi="Minion Pro" w:cs="Minion Pro"/>
          <w:bCs/>
          <w:color w:val="221E1F"/>
          <w:sz w:val="23"/>
          <w:szCs w:val="23"/>
        </w:rPr>
        <w:t>After beginning attendance in the payment period or period of enrollment, did the student cease to attend or fail to begin attendance in a course he or she was scheduled to attend? If the answer is no, this is not a withdrawal. If the an</w:t>
      </w:r>
      <w:r>
        <w:rPr>
          <w:rFonts w:ascii="Minion Pro" w:hAnsi="Minion Pro" w:cs="Minion Pro"/>
          <w:bCs/>
          <w:color w:val="221E1F"/>
          <w:sz w:val="23"/>
          <w:szCs w:val="23"/>
        </w:rPr>
        <w:softHyphen/>
        <w:t xml:space="preserve">swer is yes, go to question 2. </w:t>
      </w:r>
    </w:p>
    <w:p w:rsidR="009B4521" w:rsidRDefault="009B4521" w:rsidP="009B4521">
      <w:pPr>
        <w:pStyle w:val="Pa24"/>
        <w:spacing w:after="120"/>
        <w:ind w:left="1080" w:hanging="360"/>
        <w:rPr>
          <w:rFonts w:ascii="Minion Pro" w:hAnsi="Minion Pro" w:cs="Minion Pro"/>
          <w:bCs/>
          <w:color w:val="221E1F"/>
          <w:sz w:val="23"/>
          <w:szCs w:val="23"/>
        </w:rPr>
      </w:pPr>
      <w:r>
        <w:rPr>
          <w:rStyle w:val="A9"/>
          <w:bCs/>
        </w:rPr>
        <w:t xml:space="preserve">2) </w:t>
      </w:r>
      <w:r>
        <w:rPr>
          <w:rFonts w:ascii="Minion Pro" w:hAnsi="Minion Pro" w:cs="Minion Pro"/>
          <w:bCs/>
          <w:color w:val="221E1F"/>
          <w:sz w:val="23"/>
          <w:szCs w:val="23"/>
        </w:rPr>
        <w:t>When the student ceased to attend or failed to be</w:t>
      </w:r>
      <w:r>
        <w:rPr>
          <w:rFonts w:ascii="Minion Pro" w:hAnsi="Minion Pro" w:cs="Minion Pro"/>
          <w:bCs/>
          <w:color w:val="221E1F"/>
          <w:sz w:val="23"/>
          <w:szCs w:val="23"/>
        </w:rPr>
        <w:softHyphen/>
        <w:t xml:space="preserve">gin attendance in a course he or she was scheduled to attend, was the student still attending any other courses? If the answer is yes, this is not a withdrawal; however other regulatory provisions concerning recalculation may apply. If the answer is no, go to question 3. </w:t>
      </w:r>
    </w:p>
    <w:p w:rsidR="006D34D6" w:rsidRDefault="009B4521" w:rsidP="009B4521">
      <w:pPr>
        <w:ind w:left="1080" w:hanging="360"/>
        <w:rPr>
          <w:sz w:val="24"/>
          <w:szCs w:val="24"/>
        </w:rPr>
      </w:pPr>
      <w:r>
        <w:rPr>
          <w:rStyle w:val="A9"/>
          <w:bCs/>
        </w:rPr>
        <w:t xml:space="preserve">3) </w:t>
      </w:r>
      <w:r>
        <w:rPr>
          <w:rFonts w:ascii="Minion Pro" w:hAnsi="Minion Pro" w:cs="Minion Pro"/>
          <w:bCs/>
          <w:color w:val="221E1F"/>
          <w:sz w:val="23"/>
          <w:szCs w:val="23"/>
        </w:rPr>
        <w:t xml:space="preserve">Did the student confirm attendance in a course in a module beginning later in the period (for </w:t>
      </w:r>
      <w:proofErr w:type="spellStart"/>
      <w:r>
        <w:rPr>
          <w:rFonts w:ascii="Minion Pro" w:hAnsi="Minion Pro" w:cs="Minion Pro"/>
          <w:bCs/>
          <w:color w:val="221E1F"/>
          <w:sz w:val="23"/>
          <w:szCs w:val="23"/>
        </w:rPr>
        <w:t>nonterm</w:t>
      </w:r>
      <w:proofErr w:type="spellEnd"/>
      <w:r>
        <w:rPr>
          <w:rFonts w:ascii="Minion Pro" w:hAnsi="Minion Pro" w:cs="Minion Pro"/>
          <w:bCs/>
          <w:color w:val="221E1F"/>
          <w:sz w:val="23"/>
          <w:szCs w:val="23"/>
        </w:rPr>
        <w:t xml:space="preserve"> and nonstandard term programs, this must be no later than 45 calendar days after the end of the module the student ceased attending)? If the answer is yes, this is not a withdrawal, unless the student does not return. If the answer is no, this is a withdrawal and the Return of Title IV Funds re</w:t>
      </w:r>
      <w:r>
        <w:rPr>
          <w:rFonts w:ascii="Minion Pro" w:hAnsi="Minion Pro" w:cs="Minion Pro"/>
          <w:bCs/>
          <w:color w:val="221E1F"/>
          <w:sz w:val="23"/>
          <w:szCs w:val="23"/>
        </w:rPr>
        <w:softHyphen/>
        <w:t>quirements apply.</w:t>
      </w:r>
    </w:p>
    <w:p w:rsidR="009B4521" w:rsidRDefault="009B4521">
      <w:pPr>
        <w:rPr>
          <w:sz w:val="24"/>
          <w:szCs w:val="24"/>
        </w:rPr>
      </w:pPr>
    </w:p>
    <w:p w:rsidR="009B4521" w:rsidRDefault="009B4521">
      <w:pPr>
        <w:rPr>
          <w:sz w:val="24"/>
          <w:szCs w:val="24"/>
        </w:rPr>
      </w:pPr>
    </w:p>
    <w:p w:rsidR="00593B8C" w:rsidRDefault="00593B8C">
      <w:pPr>
        <w:rPr>
          <w:sz w:val="24"/>
          <w:szCs w:val="24"/>
        </w:rPr>
      </w:pPr>
    </w:p>
    <w:p w:rsidR="00593B8C" w:rsidRDefault="00593B8C">
      <w:pPr>
        <w:rPr>
          <w:sz w:val="24"/>
          <w:szCs w:val="24"/>
        </w:rPr>
      </w:pPr>
    </w:p>
    <w:p w:rsidR="00593B8C" w:rsidRDefault="00593B8C">
      <w:pPr>
        <w:rPr>
          <w:sz w:val="24"/>
          <w:szCs w:val="24"/>
        </w:rPr>
      </w:pPr>
    </w:p>
    <w:p w:rsidR="00593B8C" w:rsidRDefault="00593B8C" w:rsidP="00593B8C">
      <w:pPr>
        <w:rPr>
          <w:sz w:val="24"/>
          <w:szCs w:val="24"/>
        </w:rPr>
      </w:pPr>
      <w:r>
        <w:rPr>
          <w:sz w:val="24"/>
          <w:szCs w:val="24"/>
        </w:rPr>
        <w:lastRenderedPageBreak/>
        <w:t>Extracted from pages 5-</w:t>
      </w:r>
      <w:proofErr w:type="gramStart"/>
      <w:r>
        <w:rPr>
          <w:sz w:val="24"/>
          <w:szCs w:val="24"/>
        </w:rPr>
        <w:t>95  (</w:t>
      </w:r>
      <w:proofErr w:type="gramEnd"/>
      <w:r>
        <w:rPr>
          <w:sz w:val="24"/>
          <w:szCs w:val="24"/>
        </w:rPr>
        <w:t>2011-12 SFA-HB)</w:t>
      </w:r>
    </w:p>
    <w:p w:rsidR="00593B8C" w:rsidRDefault="00593B8C" w:rsidP="00593B8C">
      <w:pPr>
        <w:pStyle w:val="Pa23"/>
        <w:spacing w:before="260" w:after="260"/>
        <w:jc w:val="center"/>
        <w:rPr>
          <w:rFonts w:ascii="Myriad Pro" w:hAnsi="Myriad Pro" w:cs="Myriad Pro"/>
          <w:bCs/>
          <w:color w:val="221E1F"/>
          <w:sz w:val="28"/>
          <w:szCs w:val="28"/>
        </w:rPr>
      </w:pPr>
      <w:r>
        <w:rPr>
          <w:rFonts w:ascii="Myriad Pro" w:hAnsi="Myriad Pro" w:cs="Myriad Pro"/>
          <w:b/>
          <w:color w:val="221E1F"/>
          <w:sz w:val="28"/>
          <w:szCs w:val="28"/>
        </w:rPr>
        <w:t xml:space="preserve">Examples of using the three questions to determine whether a student who is scheduled to complete two courses in each of the first two of three modules within a payment period has withdrawn </w:t>
      </w:r>
    </w:p>
    <w:p w:rsidR="00593B8C" w:rsidRDefault="00593B8C" w:rsidP="00593B8C">
      <w:pPr>
        <w:pStyle w:val="Pa44"/>
        <w:spacing w:before="260" w:after="260"/>
        <w:jc w:val="center"/>
        <w:rPr>
          <w:rFonts w:ascii="Myriad Pro" w:hAnsi="Myriad Pro" w:cs="Myriad Pro"/>
          <w:bCs/>
          <w:color w:val="221E1F"/>
          <w:sz w:val="23"/>
          <w:szCs w:val="23"/>
        </w:rPr>
      </w:pPr>
      <w:r>
        <w:rPr>
          <w:rFonts w:ascii="Myriad Pro" w:hAnsi="Myriad Pro" w:cs="Myriad Pro"/>
          <w:b/>
          <w:color w:val="221E1F"/>
          <w:sz w:val="23"/>
          <w:szCs w:val="23"/>
        </w:rPr>
        <w:t xml:space="preserve">Scenario 1 </w:t>
      </w:r>
    </w:p>
    <w:p w:rsidR="00593B8C" w:rsidRDefault="00593B8C" w:rsidP="00593B8C">
      <w:pPr>
        <w:pStyle w:val="Pa35"/>
        <w:spacing w:after="260"/>
        <w:rPr>
          <w:rFonts w:ascii="Myriad Pro" w:hAnsi="Myriad Pro" w:cs="Myriad Pro"/>
          <w:bCs/>
          <w:color w:val="221E1F"/>
          <w:sz w:val="23"/>
          <w:szCs w:val="23"/>
        </w:rPr>
      </w:pPr>
      <w:r>
        <w:rPr>
          <w:rFonts w:ascii="Myriad Pro" w:hAnsi="Myriad Pro" w:cs="Myriad Pro"/>
          <w:bCs/>
          <w:color w:val="221E1F"/>
          <w:sz w:val="23"/>
          <w:szCs w:val="23"/>
        </w:rPr>
        <w:t>The student begins attendance in both courses in the first module, but ceases to attend both courses after just a few days and does not confirm that he will return to any courses in mod</w:t>
      </w:r>
      <w:r>
        <w:rPr>
          <w:rFonts w:ascii="Myriad Pro" w:hAnsi="Myriad Pro" w:cs="Myriad Pro"/>
          <w:bCs/>
          <w:color w:val="221E1F"/>
          <w:sz w:val="23"/>
          <w:szCs w:val="23"/>
        </w:rPr>
        <w:softHyphen/>
        <w:t xml:space="preserve">ules two or three. The student is a withdrawal because he or she ceased to attend courses he or she was scheduled to attend (Yes to question 1); was not still attending any other courses (No to question 2); and did not confirm attendance in a course in a module beginning later in the period (No to question 3). </w:t>
      </w:r>
    </w:p>
    <w:p w:rsidR="00593B8C" w:rsidRDefault="00593B8C" w:rsidP="00593B8C">
      <w:pPr>
        <w:pStyle w:val="Pa44"/>
        <w:spacing w:before="260" w:after="260"/>
        <w:jc w:val="center"/>
        <w:rPr>
          <w:rFonts w:ascii="Myriad Pro" w:hAnsi="Myriad Pro" w:cs="Myriad Pro"/>
          <w:bCs/>
          <w:color w:val="221E1F"/>
          <w:sz w:val="23"/>
          <w:szCs w:val="23"/>
        </w:rPr>
      </w:pPr>
      <w:r>
        <w:rPr>
          <w:rFonts w:ascii="Myriad Pro" w:hAnsi="Myriad Pro" w:cs="Myriad Pro"/>
          <w:b/>
          <w:color w:val="221E1F"/>
          <w:sz w:val="23"/>
          <w:szCs w:val="23"/>
        </w:rPr>
        <w:t xml:space="preserve">Scenario 2 </w:t>
      </w:r>
    </w:p>
    <w:p w:rsidR="00593B8C" w:rsidRDefault="00593B8C" w:rsidP="00593B8C">
      <w:pPr>
        <w:pStyle w:val="Pa35"/>
        <w:spacing w:after="260"/>
        <w:rPr>
          <w:rFonts w:ascii="Myriad Pro" w:hAnsi="Myriad Pro" w:cs="Myriad Pro"/>
          <w:bCs/>
          <w:color w:val="221E1F"/>
          <w:sz w:val="23"/>
          <w:szCs w:val="23"/>
        </w:rPr>
      </w:pPr>
      <w:r>
        <w:rPr>
          <w:rFonts w:ascii="Myriad Pro" w:hAnsi="Myriad Pro" w:cs="Myriad Pro"/>
          <w:bCs/>
          <w:color w:val="221E1F"/>
          <w:sz w:val="23"/>
          <w:szCs w:val="23"/>
        </w:rPr>
        <w:t>If, however, the student begins attendance in both courses in the first module, but drops just one of the courses after just a few days, the student is not a withdrawal. Although the stu</w:t>
      </w:r>
      <w:r>
        <w:rPr>
          <w:rFonts w:ascii="Myriad Pro" w:hAnsi="Myriad Pro" w:cs="Myriad Pro"/>
          <w:bCs/>
          <w:color w:val="221E1F"/>
          <w:sz w:val="23"/>
          <w:szCs w:val="23"/>
        </w:rPr>
        <w:softHyphen/>
        <w:t>dent ceased to attend a course he or she was scheduled to attend (Yes to question 1), the stu</w:t>
      </w:r>
      <w:r>
        <w:rPr>
          <w:rFonts w:ascii="Myriad Pro" w:hAnsi="Myriad Pro" w:cs="Myriad Pro"/>
          <w:bCs/>
          <w:color w:val="221E1F"/>
          <w:sz w:val="23"/>
          <w:szCs w:val="23"/>
        </w:rPr>
        <w:softHyphen/>
        <w:t xml:space="preserve">dent was still attending another course (Yes to question 2). Of course, the student’s eligibility must be recalculated. </w:t>
      </w:r>
    </w:p>
    <w:p w:rsidR="00593B8C" w:rsidRDefault="00593B8C" w:rsidP="00593B8C">
      <w:pPr>
        <w:pStyle w:val="Pa44"/>
        <w:spacing w:before="260" w:after="260"/>
        <w:jc w:val="center"/>
        <w:rPr>
          <w:rFonts w:ascii="Myriad Pro" w:hAnsi="Myriad Pro" w:cs="Myriad Pro"/>
          <w:bCs/>
          <w:color w:val="221E1F"/>
          <w:sz w:val="23"/>
          <w:szCs w:val="23"/>
        </w:rPr>
      </w:pPr>
      <w:r>
        <w:rPr>
          <w:rFonts w:ascii="Myriad Pro" w:hAnsi="Myriad Pro" w:cs="Myriad Pro"/>
          <w:b/>
          <w:color w:val="221E1F"/>
          <w:sz w:val="23"/>
          <w:szCs w:val="23"/>
        </w:rPr>
        <w:t xml:space="preserve">Scenario 3 </w:t>
      </w:r>
    </w:p>
    <w:p w:rsidR="00593B8C" w:rsidRDefault="00593B8C" w:rsidP="00593B8C">
      <w:pPr>
        <w:rPr>
          <w:sz w:val="24"/>
          <w:szCs w:val="24"/>
        </w:rPr>
      </w:pPr>
      <w:r>
        <w:rPr>
          <w:rFonts w:ascii="Myriad Pro" w:hAnsi="Myriad Pro" w:cs="Myriad Pro"/>
          <w:bCs/>
          <w:color w:val="221E1F"/>
          <w:sz w:val="23"/>
          <w:szCs w:val="23"/>
        </w:rPr>
        <w:t>If the student completes both courses in module one, but officially drops both courses in module two while still attending the courses in module one, the student is not a withdrawal. Because the student officially dropped both courses in module two before they began, the student did not cease to attend or fail to begin attendance in a course he or she was sched</w:t>
      </w:r>
      <w:r>
        <w:rPr>
          <w:rFonts w:ascii="Myriad Pro" w:hAnsi="Myriad Pro" w:cs="Myriad Pro"/>
          <w:bCs/>
          <w:color w:val="221E1F"/>
          <w:sz w:val="23"/>
          <w:szCs w:val="23"/>
        </w:rPr>
        <w:softHyphen/>
        <w:t xml:space="preserve">uled to attend (No to question 1). However, because the student did not begin attendance in all courses, other regulatory provisions concerning recalculation may apply. </w:t>
      </w:r>
    </w:p>
    <w:p w:rsidR="00593B8C" w:rsidRDefault="00593B8C">
      <w:pPr>
        <w:rPr>
          <w:sz w:val="24"/>
          <w:szCs w:val="24"/>
        </w:rPr>
      </w:pPr>
    </w:p>
    <w:p w:rsidR="009B4521" w:rsidRDefault="009B4521">
      <w:pPr>
        <w:rPr>
          <w:sz w:val="24"/>
          <w:szCs w:val="24"/>
        </w:rPr>
      </w:pPr>
    </w:p>
    <w:p w:rsidR="006D34D6" w:rsidRDefault="006D34D6">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Default="000617AC">
      <w:pPr>
        <w:rPr>
          <w:sz w:val="24"/>
          <w:szCs w:val="24"/>
        </w:rPr>
      </w:pPr>
    </w:p>
    <w:p w:rsidR="000617AC" w:rsidRPr="00551F6B" w:rsidRDefault="000617AC">
      <w:pPr>
        <w:rPr>
          <w:b/>
          <w:sz w:val="24"/>
          <w:szCs w:val="24"/>
          <w:highlight w:val="yellow"/>
        </w:rPr>
      </w:pPr>
      <w:r w:rsidRPr="00551F6B">
        <w:rPr>
          <w:b/>
          <w:sz w:val="24"/>
          <w:szCs w:val="24"/>
          <w:highlight w:val="yellow"/>
        </w:rPr>
        <w:lastRenderedPageBreak/>
        <w:t>RGM Examples:</w:t>
      </w:r>
    </w:p>
    <w:p w:rsidR="000617AC" w:rsidRPr="00551F6B" w:rsidRDefault="008F649D">
      <w:pPr>
        <w:rPr>
          <w:sz w:val="24"/>
          <w:szCs w:val="24"/>
          <w:highlight w:val="yellow"/>
        </w:rPr>
      </w:pPr>
      <w:r w:rsidRPr="00551F6B">
        <w:rPr>
          <w:sz w:val="24"/>
          <w:szCs w:val="24"/>
          <w:highlight w:val="yellow"/>
        </w:rPr>
        <w:t xml:space="preserve">This is a payment period that includes 8 subjects/courses going from 21 </w:t>
      </w:r>
      <w:r w:rsidRPr="00551F6B">
        <w:rPr>
          <w:b/>
          <w:sz w:val="24"/>
          <w:szCs w:val="24"/>
          <w:highlight w:val="yellow"/>
          <w:u w:val="single"/>
        </w:rPr>
        <w:t>calendar</w:t>
      </w:r>
      <w:r w:rsidRPr="00551F6B">
        <w:rPr>
          <w:sz w:val="24"/>
          <w:szCs w:val="24"/>
          <w:highlight w:val="yellow"/>
        </w:rPr>
        <w:t xml:space="preserve"> days to 84days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706"/>
        <w:gridCol w:w="914"/>
        <w:gridCol w:w="810"/>
      </w:tblGrid>
      <w:tr w:rsidR="00AF54FC" w:rsidRPr="00551F6B" w:rsidTr="00AB2016">
        <w:trPr>
          <w:trHeight w:val="337"/>
        </w:trPr>
        <w:tc>
          <w:tcPr>
            <w:tcW w:w="706" w:type="dxa"/>
          </w:tcPr>
          <w:p w:rsidR="00AF54FC" w:rsidRPr="00551F6B" w:rsidRDefault="008F649D" w:rsidP="00AF54FC">
            <w:pPr>
              <w:rPr>
                <w:sz w:val="24"/>
                <w:szCs w:val="24"/>
                <w:highlight w:val="yellow"/>
              </w:rPr>
            </w:pPr>
            <w:r w:rsidRPr="00551F6B">
              <w:rPr>
                <w:sz w:val="24"/>
                <w:szCs w:val="24"/>
                <w:highlight w:val="yellow"/>
              </w:rPr>
              <w:t>a-</w:t>
            </w:r>
            <w:r w:rsidR="00AF54FC" w:rsidRPr="00551F6B">
              <w:rPr>
                <w:sz w:val="24"/>
                <w:szCs w:val="24"/>
                <w:highlight w:val="yellow"/>
              </w:rPr>
              <w:t>21</w:t>
            </w:r>
          </w:p>
        </w:tc>
        <w:tc>
          <w:tcPr>
            <w:tcW w:w="1620" w:type="dxa"/>
            <w:gridSpan w:val="2"/>
          </w:tcPr>
          <w:p w:rsidR="00AF54FC" w:rsidRPr="00551F6B" w:rsidRDefault="008F649D" w:rsidP="00AB2016">
            <w:pPr>
              <w:rPr>
                <w:sz w:val="24"/>
                <w:szCs w:val="24"/>
                <w:highlight w:val="yellow"/>
              </w:rPr>
            </w:pPr>
            <w:r w:rsidRPr="00551F6B">
              <w:rPr>
                <w:sz w:val="24"/>
                <w:szCs w:val="24"/>
                <w:highlight w:val="yellow"/>
              </w:rPr>
              <w:t>d-</w:t>
            </w:r>
            <w:r w:rsidR="00AB2016" w:rsidRPr="00551F6B">
              <w:rPr>
                <w:sz w:val="24"/>
                <w:szCs w:val="24"/>
                <w:highlight w:val="yellow"/>
              </w:rPr>
              <w:t>5</w:t>
            </w:r>
            <w:r w:rsidR="00AF54FC" w:rsidRPr="00551F6B">
              <w:rPr>
                <w:sz w:val="24"/>
                <w:szCs w:val="24"/>
                <w:highlight w:val="yellow"/>
              </w:rPr>
              <w:t>5</w:t>
            </w:r>
          </w:p>
        </w:tc>
        <w:tc>
          <w:tcPr>
            <w:tcW w:w="810" w:type="dxa"/>
          </w:tcPr>
          <w:p w:rsidR="00AF54FC" w:rsidRPr="00551F6B" w:rsidRDefault="008F649D" w:rsidP="00AF54FC">
            <w:pPr>
              <w:rPr>
                <w:sz w:val="24"/>
                <w:szCs w:val="24"/>
                <w:highlight w:val="yellow"/>
              </w:rPr>
            </w:pPr>
            <w:r w:rsidRPr="00551F6B">
              <w:rPr>
                <w:sz w:val="24"/>
                <w:szCs w:val="24"/>
                <w:highlight w:val="yellow"/>
              </w:rPr>
              <w:t>h-</w:t>
            </w:r>
            <w:r w:rsidR="00AB2016" w:rsidRPr="00551F6B">
              <w:rPr>
                <w:sz w:val="24"/>
                <w:szCs w:val="24"/>
                <w:highlight w:val="yellow"/>
              </w:rPr>
              <w:t>2</w:t>
            </w:r>
            <w:r w:rsidR="00AF54FC" w:rsidRPr="00551F6B">
              <w:rPr>
                <w:sz w:val="24"/>
                <w:szCs w:val="24"/>
                <w:highlight w:val="yellow"/>
              </w:rPr>
              <w:t>9</w:t>
            </w:r>
          </w:p>
        </w:tc>
      </w:tr>
      <w:tr w:rsidR="00AF54FC" w:rsidRPr="00551F6B" w:rsidTr="00AB2016">
        <w:trPr>
          <w:trHeight w:val="337"/>
        </w:trPr>
        <w:tc>
          <w:tcPr>
            <w:tcW w:w="706" w:type="dxa"/>
          </w:tcPr>
          <w:p w:rsidR="00AF54FC" w:rsidRPr="00551F6B" w:rsidRDefault="008F649D" w:rsidP="00AF54FC">
            <w:pPr>
              <w:rPr>
                <w:sz w:val="24"/>
                <w:szCs w:val="24"/>
                <w:highlight w:val="yellow"/>
              </w:rPr>
            </w:pPr>
            <w:r w:rsidRPr="00551F6B">
              <w:rPr>
                <w:sz w:val="24"/>
                <w:szCs w:val="24"/>
                <w:highlight w:val="yellow"/>
              </w:rPr>
              <w:t>b-</w:t>
            </w:r>
            <w:r w:rsidR="00AF54FC" w:rsidRPr="00551F6B">
              <w:rPr>
                <w:sz w:val="24"/>
                <w:szCs w:val="24"/>
                <w:highlight w:val="yellow"/>
              </w:rPr>
              <w:t>21</w:t>
            </w:r>
          </w:p>
        </w:tc>
        <w:tc>
          <w:tcPr>
            <w:tcW w:w="2430" w:type="dxa"/>
            <w:gridSpan w:val="3"/>
          </w:tcPr>
          <w:p w:rsidR="00AF54FC" w:rsidRPr="00551F6B" w:rsidRDefault="008F649D" w:rsidP="00AF54FC">
            <w:pPr>
              <w:rPr>
                <w:sz w:val="24"/>
                <w:szCs w:val="24"/>
                <w:highlight w:val="yellow"/>
              </w:rPr>
            </w:pPr>
            <w:r w:rsidRPr="00551F6B">
              <w:rPr>
                <w:sz w:val="24"/>
                <w:szCs w:val="24"/>
                <w:highlight w:val="yellow"/>
              </w:rPr>
              <w:t>e-</w:t>
            </w:r>
            <w:r w:rsidR="00AF54FC" w:rsidRPr="00551F6B">
              <w:rPr>
                <w:sz w:val="24"/>
                <w:szCs w:val="24"/>
                <w:highlight w:val="yellow"/>
              </w:rPr>
              <w:t>84</w:t>
            </w:r>
          </w:p>
        </w:tc>
      </w:tr>
      <w:tr w:rsidR="008F649D" w:rsidRPr="00551F6B" w:rsidTr="00AB2016">
        <w:trPr>
          <w:trHeight w:val="428"/>
        </w:trPr>
        <w:tc>
          <w:tcPr>
            <w:tcW w:w="706" w:type="dxa"/>
          </w:tcPr>
          <w:p w:rsidR="008F649D" w:rsidRPr="00551F6B" w:rsidRDefault="008F649D" w:rsidP="00AF54FC">
            <w:pPr>
              <w:rPr>
                <w:sz w:val="24"/>
                <w:szCs w:val="24"/>
                <w:highlight w:val="yellow"/>
              </w:rPr>
            </w:pPr>
            <w:r w:rsidRPr="00551F6B">
              <w:rPr>
                <w:sz w:val="24"/>
                <w:szCs w:val="24"/>
                <w:highlight w:val="yellow"/>
              </w:rPr>
              <w:t>c-21</w:t>
            </w:r>
          </w:p>
        </w:tc>
        <w:tc>
          <w:tcPr>
            <w:tcW w:w="706" w:type="dxa"/>
          </w:tcPr>
          <w:p w:rsidR="008F649D" w:rsidRPr="00551F6B" w:rsidRDefault="008F649D" w:rsidP="00AF54FC">
            <w:pPr>
              <w:rPr>
                <w:sz w:val="24"/>
                <w:szCs w:val="24"/>
                <w:highlight w:val="yellow"/>
              </w:rPr>
            </w:pPr>
            <w:r w:rsidRPr="00551F6B">
              <w:rPr>
                <w:sz w:val="24"/>
                <w:szCs w:val="24"/>
                <w:highlight w:val="yellow"/>
              </w:rPr>
              <w:t>f-21</w:t>
            </w:r>
          </w:p>
        </w:tc>
        <w:tc>
          <w:tcPr>
            <w:tcW w:w="1724" w:type="dxa"/>
            <w:gridSpan w:val="2"/>
          </w:tcPr>
          <w:p w:rsidR="008F649D" w:rsidRPr="00551F6B" w:rsidRDefault="008F649D" w:rsidP="00AF54FC">
            <w:pPr>
              <w:rPr>
                <w:sz w:val="24"/>
                <w:szCs w:val="24"/>
                <w:highlight w:val="yellow"/>
              </w:rPr>
            </w:pPr>
            <w:r w:rsidRPr="00551F6B">
              <w:rPr>
                <w:sz w:val="24"/>
                <w:szCs w:val="24"/>
                <w:highlight w:val="yellow"/>
              </w:rPr>
              <w:t>g-63</w:t>
            </w:r>
          </w:p>
        </w:tc>
      </w:tr>
    </w:tbl>
    <w:p w:rsidR="00856126" w:rsidRPr="00551F6B" w:rsidRDefault="00856126">
      <w:pPr>
        <w:rPr>
          <w:sz w:val="24"/>
          <w:szCs w:val="24"/>
          <w:highlight w:val="yellow"/>
        </w:rPr>
      </w:pPr>
      <w:r w:rsidRPr="00551F6B">
        <w:rPr>
          <w:sz w:val="24"/>
          <w:szCs w:val="24"/>
          <w:highlight w:val="yellow"/>
        </w:rPr>
        <w:t>Dropping out of school on the tenth day of classes, within the first 21 days</w:t>
      </w:r>
    </w:p>
    <w:p w:rsidR="00856126" w:rsidRPr="00551F6B" w:rsidRDefault="00856126">
      <w:pPr>
        <w:rPr>
          <w:sz w:val="24"/>
          <w:szCs w:val="24"/>
          <w:highlight w:val="yellow"/>
        </w:rPr>
      </w:pPr>
      <w:r w:rsidRPr="00551F6B">
        <w:rPr>
          <w:sz w:val="24"/>
          <w:szCs w:val="24"/>
          <w:highlight w:val="yellow"/>
        </w:rPr>
        <w:t xml:space="preserve">The student will not be considered withdraw and R2T4 would not apply </w:t>
      </w:r>
      <w:r w:rsidRPr="00551F6B">
        <w:rPr>
          <w:b/>
          <w:sz w:val="24"/>
          <w:szCs w:val="24"/>
          <w:highlight w:val="yellow"/>
        </w:rPr>
        <w:t>IF</w:t>
      </w:r>
      <w:r w:rsidRPr="00551F6B">
        <w:rPr>
          <w:sz w:val="24"/>
          <w:szCs w:val="24"/>
          <w:highlight w:val="yellow"/>
        </w:rPr>
        <w:t xml:space="preserve"> the institution </w:t>
      </w:r>
      <w:r w:rsidRPr="00551F6B">
        <w:rPr>
          <w:rFonts w:cs="Minion Pro"/>
          <w:color w:val="221E1F"/>
          <w:sz w:val="23"/>
          <w:szCs w:val="23"/>
          <w:highlight w:val="yellow"/>
        </w:rPr>
        <w:t>obtains written confirmation from the student at the time of the withdrawal that he or she will attend a module that begins later in the same payment pe</w:t>
      </w:r>
      <w:r w:rsidRPr="00551F6B">
        <w:rPr>
          <w:rFonts w:cs="Minion Pro"/>
          <w:color w:val="221E1F"/>
          <w:sz w:val="23"/>
          <w:szCs w:val="23"/>
          <w:highlight w:val="yellow"/>
        </w:rPr>
        <w:softHyphen/>
        <w:t>riod or period of enrollment, provided the later module the student will attend begins no later than 45 calendar days after the end of the module the student ceased attending.</w:t>
      </w:r>
    </w:p>
    <w:p w:rsidR="00856126" w:rsidRPr="00551F6B" w:rsidRDefault="00856126">
      <w:pPr>
        <w:rPr>
          <w:rFonts w:cs="Minion Pro"/>
          <w:color w:val="221E1F"/>
          <w:sz w:val="23"/>
          <w:szCs w:val="23"/>
          <w:highlight w:val="yellow"/>
        </w:rPr>
      </w:pPr>
    </w:p>
    <w:p w:rsidR="00856126" w:rsidRPr="00551F6B" w:rsidRDefault="00856126">
      <w:pPr>
        <w:rPr>
          <w:rFonts w:cs="Minion Pro"/>
          <w:color w:val="221E1F"/>
          <w:sz w:val="23"/>
          <w:szCs w:val="23"/>
          <w:highlight w:val="yellow"/>
        </w:rPr>
      </w:pPr>
      <w:r w:rsidRPr="00551F6B">
        <w:rPr>
          <w:rFonts w:cs="Minion Pro"/>
          <w:color w:val="221E1F"/>
          <w:sz w:val="23"/>
          <w:szCs w:val="23"/>
          <w:highlight w:val="yellow"/>
        </w:rPr>
        <w:t xml:space="preserve">That means that the student plans to return </w:t>
      </w:r>
      <w:r w:rsidR="00B000E4" w:rsidRPr="00551F6B">
        <w:rPr>
          <w:rFonts w:cs="Minion Pro"/>
          <w:color w:val="221E1F"/>
          <w:sz w:val="23"/>
          <w:szCs w:val="23"/>
          <w:highlight w:val="yellow"/>
        </w:rPr>
        <w:t>to course “d”, “e”, “f” or “g” but not “h” since “h” does not start until after 45 days from the end of the first 21 days.</w:t>
      </w:r>
    </w:p>
    <w:p w:rsidR="00856126" w:rsidRPr="00551F6B" w:rsidRDefault="00856126">
      <w:pPr>
        <w:rPr>
          <w:rFonts w:cs="Minion Pro"/>
          <w:color w:val="221E1F"/>
          <w:sz w:val="23"/>
          <w:szCs w:val="23"/>
          <w:highlight w:val="yellow"/>
        </w:rPr>
      </w:pPr>
    </w:p>
    <w:p w:rsidR="00856126" w:rsidRPr="00551F6B" w:rsidRDefault="00B000E4">
      <w:pPr>
        <w:rPr>
          <w:rFonts w:cs="Minion Pro"/>
          <w:color w:val="221E1F"/>
          <w:sz w:val="23"/>
          <w:szCs w:val="23"/>
          <w:highlight w:val="yellow"/>
        </w:rPr>
      </w:pPr>
      <w:r w:rsidRPr="00551F6B">
        <w:rPr>
          <w:rFonts w:cs="Minion Pro"/>
          <w:color w:val="221E1F"/>
          <w:sz w:val="23"/>
          <w:szCs w:val="23"/>
          <w:highlight w:val="yellow"/>
        </w:rPr>
        <w:t>If the student enrolls in subject “e” and drops from subjects “d” and “f” the student still enrolled because the subject spans till the end of the PP.</w:t>
      </w:r>
    </w:p>
    <w:p w:rsidR="00B000E4" w:rsidRPr="00551F6B" w:rsidRDefault="00B000E4">
      <w:pPr>
        <w:rPr>
          <w:rFonts w:cs="Minion Pro"/>
          <w:color w:val="221E1F"/>
          <w:sz w:val="23"/>
          <w:szCs w:val="23"/>
          <w:highlight w:val="yellow"/>
        </w:rPr>
      </w:pPr>
    </w:p>
    <w:p w:rsidR="00B000E4" w:rsidRPr="00551F6B" w:rsidRDefault="00B000E4">
      <w:pPr>
        <w:rPr>
          <w:rFonts w:cs="Minion Pro"/>
          <w:color w:val="221E1F"/>
          <w:sz w:val="23"/>
          <w:szCs w:val="23"/>
          <w:highlight w:val="yellow"/>
        </w:rPr>
      </w:pPr>
      <w:r w:rsidRPr="00551F6B">
        <w:rPr>
          <w:rFonts w:cs="Minion Pro"/>
          <w:color w:val="221E1F"/>
          <w:sz w:val="23"/>
          <w:szCs w:val="23"/>
          <w:highlight w:val="yellow"/>
        </w:rPr>
        <w:t>If the student drops from subject “e” prior to the start date of subjects “g” and “h”, the school may obtain the statement from the student that will be attending later on in the PP and the student is considered in school and not a withdraw and R2T4 would not apply.</w:t>
      </w:r>
    </w:p>
    <w:p w:rsidR="00B000E4" w:rsidRPr="00551F6B" w:rsidRDefault="00B000E4">
      <w:pPr>
        <w:rPr>
          <w:rFonts w:cs="Minion Pro"/>
          <w:color w:val="221E1F"/>
          <w:sz w:val="23"/>
          <w:szCs w:val="23"/>
          <w:highlight w:val="yellow"/>
        </w:rPr>
      </w:pPr>
    </w:p>
    <w:p w:rsidR="00B000E4" w:rsidRPr="00551F6B" w:rsidRDefault="00B000E4">
      <w:pPr>
        <w:rPr>
          <w:rFonts w:cs="Minion Pro"/>
          <w:color w:val="221E1F"/>
          <w:sz w:val="23"/>
          <w:szCs w:val="23"/>
          <w:highlight w:val="yellow"/>
        </w:rPr>
      </w:pPr>
      <w:r w:rsidRPr="00551F6B">
        <w:rPr>
          <w:rFonts w:cs="Minion Pro"/>
          <w:color w:val="221E1F"/>
          <w:sz w:val="23"/>
          <w:szCs w:val="23"/>
          <w:highlight w:val="yellow"/>
        </w:rPr>
        <w:t xml:space="preserve">If the student does not returns as scheduled, </w:t>
      </w:r>
      <w:r w:rsidR="00A0794B" w:rsidRPr="00551F6B">
        <w:rPr>
          <w:rFonts w:cs="Minion Pro"/>
          <w:color w:val="221E1F"/>
          <w:sz w:val="23"/>
          <w:szCs w:val="23"/>
          <w:highlight w:val="yellow"/>
        </w:rPr>
        <w:t>the student will be considered withdrawn as of the date of the original LDA</w:t>
      </w:r>
    </w:p>
    <w:p w:rsidR="00A0794B" w:rsidRPr="00551F6B" w:rsidRDefault="00A0794B">
      <w:pPr>
        <w:rPr>
          <w:rFonts w:cs="Minion Pro"/>
          <w:color w:val="221E1F"/>
          <w:sz w:val="23"/>
          <w:szCs w:val="23"/>
          <w:highlight w:val="yellow"/>
        </w:rPr>
      </w:pPr>
    </w:p>
    <w:p w:rsidR="00A0794B" w:rsidRPr="00551F6B" w:rsidRDefault="00A0794B">
      <w:pPr>
        <w:rPr>
          <w:rFonts w:cs="Minion Pro"/>
          <w:color w:val="221E1F"/>
          <w:sz w:val="23"/>
          <w:szCs w:val="23"/>
          <w:highlight w:val="yellow"/>
        </w:rPr>
      </w:pPr>
      <w:r w:rsidRPr="00551F6B">
        <w:rPr>
          <w:rFonts w:cs="Minion Pro"/>
          <w:color w:val="221E1F"/>
          <w:sz w:val="23"/>
          <w:szCs w:val="23"/>
          <w:highlight w:val="yellow"/>
        </w:rPr>
        <w:t>Second sample</w:t>
      </w:r>
    </w:p>
    <w:p w:rsidR="00A0794B" w:rsidRPr="00551F6B" w:rsidRDefault="00A0794B">
      <w:pPr>
        <w:rPr>
          <w:rFonts w:cs="Minion Pro"/>
          <w:color w:val="221E1F"/>
          <w:sz w:val="23"/>
          <w:szCs w:val="23"/>
          <w:highlight w:val="yellow"/>
        </w:rPr>
      </w:pPr>
      <w:r w:rsidRPr="00551F6B">
        <w:rPr>
          <w:rFonts w:cs="Minion Pro"/>
          <w:color w:val="221E1F"/>
          <w:sz w:val="23"/>
          <w:szCs w:val="23"/>
          <w:highlight w:val="yellow"/>
        </w:rPr>
        <w:t>Payment period of 1</w:t>
      </w:r>
      <w:r w:rsidR="0051572E" w:rsidRPr="00551F6B">
        <w:rPr>
          <w:rFonts w:cs="Minion Pro"/>
          <w:color w:val="221E1F"/>
          <w:sz w:val="23"/>
          <w:szCs w:val="23"/>
          <w:highlight w:val="yellow"/>
        </w:rPr>
        <w:t>6</w:t>
      </w:r>
      <w:r w:rsidRPr="00551F6B">
        <w:rPr>
          <w:rFonts w:cs="Minion Pro"/>
          <w:color w:val="221E1F"/>
          <w:sz w:val="23"/>
          <w:szCs w:val="23"/>
          <w:highlight w:val="yellow"/>
        </w:rPr>
        <w:t xml:space="preserve"> weeks (16*7=112 calendar days)</w:t>
      </w:r>
    </w:p>
    <w:p w:rsidR="00071204" w:rsidRPr="00551F6B" w:rsidRDefault="00071204">
      <w:pPr>
        <w:rPr>
          <w:rFonts w:cs="Minion Pro"/>
          <w:color w:val="221E1F"/>
          <w:sz w:val="23"/>
          <w:szCs w:val="23"/>
          <w:highlight w:val="yellow"/>
        </w:rPr>
      </w:pPr>
      <w:r w:rsidRPr="00551F6B">
        <w:rPr>
          <w:rFonts w:cs="Minion Pro"/>
          <w:color w:val="221E1F"/>
          <w:sz w:val="23"/>
          <w:szCs w:val="23"/>
          <w:highlight w:val="yellow"/>
        </w:rPr>
        <w:t>Each subject is 4 weeks (28 days) running one at a time</w:t>
      </w:r>
    </w:p>
    <w:tbl>
      <w:tblPr>
        <w:tblStyle w:val="TableGrid"/>
        <w:tblW w:w="0" w:type="auto"/>
        <w:tblInd w:w="108" w:type="dxa"/>
        <w:tblLook w:val="04A0"/>
      </w:tblPr>
      <w:tblGrid>
        <w:gridCol w:w="2182"/>
        <w:gridCol w:w="2183"/>
        <w:gridCol w:w="2182"/>
        <w:gridCol w:w="2183"/>
      </w:tblGrid>
      <w:tr w:rsidR="00071204" w:rsidRPr="00551F6B" w:rsidTr="00071204">
        <w:tc>
          <w:tcPr>
            <w:tcW w:w="2182" w:type="dxa"/>
          </w:tcPr>
          <w:p w:rsidR="00071204" w:rsidRPr="00551F6B" w:rsidRDefault="00071204" w:rsidP="00071204">
            <w:pPr>
              <w:rPr>
                <w:rFonts w:cs="Minion Pro"/>
                <w:color w:val="221E1F"/>
                <w:sz w:val="23"/>
                <w:szCs w:val="23"/>
                <w:highlight w:val="yellow"/>
              </w:rPr>
            </w:pPr>
            <w:r w:rsidRPr="00551F6B">
              <w:rPr>
                <w:rFonts w:cs="Minion Pro"/>
                <w:color w:val="221E1F"/>
                <w:sz w:val="23"/>
                <w:szCs w:val="23"/>
                <w:highlight w:val="yellow"/>
              </w:rPr>
              <w:t>A</w:t>
            </w:r>
          </w:p>
        </w:tc>
        <w:tc>
          <w:tcPr>
            <w:tcW w:w="2183" w:type="dxa"/>
          </w:tcPr>
          <w:p w:rsidR="00071204" w:rsidRPr="00551F6B" w:rsidRDefault="0051572E">
            <w:pPr>
              <w:rPr>
                <w:rFonts w:cs="Minion Pro"/>
                <w:color w:val="221E1F"/>
                <w:sz w:val="23"/>
                <w:szCs w:val="23"/>
                <w:highlight w:val="yellow"/>
              </w:rPr>
            </w:pPr>
            <w:r w:rsidRPr="00551F6B">
              <w:rPr>
                <w:rFonts w:cs="Minion Pro"/>
                <w:color w:val="221E1F"/>
                <w:sz w:val="23"/>
                <w:szCs w:val="23"/>
                <w:highlight w:val="yellow"/>
              </w:rPr>
              <w:t>B</w:t>
            </w:r>
          </w:p>
        </w:tc>
        <w:tc>
          <w:tcPr>
            <w:tcW w:w="2182" w:type="dxa"/>
          </w:tcPr>
          <w:p w:rsidR="00071204" w:rsidRPr="00551F6B" w:rsidRDefault="00071204">
            <w:pPr>
              <w:rPr>
                <w:rFonts w:cs="Minion Pro"/>
                <w:color w:val="221E1F"/>
                <w:sz w:val="23"/>
                <w:szCs w:val="23"/>
                <w:highlight w:val="yellow"/>
              </w:rPr>
            </w:pPr>
            <w:r w:rsidRPr="00551F6B">
              <w:rPr>
                <w:rFonts w:cs="Minion Pro"/>
                <w:color w:val="221E1F"/>
                <w:sz w:val="23"/>
                <w:szCs w:val="23"/>
                <w:highlight w:val="yellow"/>
              </w:rPr>
              <w:t>c</w:t>
            </w:r>
          </w:p>
        </w:tc>
        <w:tc>
          <w:tcPr>
            <w:tcW w:w="2183" w:type="dxa"/>
          </w:tcPr>
          <w:p w:rsidR="00071204" w:rsidRPr="00551F6B" w:rsidRDefault="00071204">
            <w:pPr>
              <w:rPr>
                <w:rFonts w:cs="Minion Pro"/>
                <w:color w:val="221E1F"/>
                <w:sz w:val="23"/>
                <w:szCs w:val="23"/>
                <w:highlight w:val="yellow"/>
              </w:rPr>
            </w:pPr>
            <w:r w:rsidRPr="00551F6B">
              <w:rPr>
                <w:rFonts w:cs="Minion Pro"/>
                <w:color w:val="221E1F"/>
                <w:sz w:val="23"/>
                <w:szCs w:val="23"/>
                <w:highlight w:val="yellow"/>
              </w:rPr>
              <w:t>d</w:t>
            </w:r>
          </w:p>
        </w:tc>
      </w:tr>
    </w:tbl>
    <w:p w:rsidR="00A0794B" w:rsidRPr="00551F6B" w:rsidRDefault="00A0794B">
      <w:pPr>
        <w:rPr>
          <w:rFonts w:cs="Minion Pro"/>
          <w:color w:val="221E1F"/>
          <w:sz w:val="23"/>
          <w:szCs w:val="23"/>
          <w:highlight w:val="yellow"/>
        </w:rPr>
      </w:pPr>
    </w:p>
    <w:p w:rsidR="00A0794B" w:rsidRPr="00551F6B" w:rsidRDefault="00071204">
      <w:pPr>
        <w:rPr>
          <w:rFonts w:cs="Minion Pro"/>
          <w:color w:val="221E1F"/>
          <w:sz w:val="23"/>
          <w:szCs w:val="23"/>
          <w:highlight w:val="yellow"/>
        </w:rPr>
      </w:pPr>
      <w:r w:rsidRPr="00551F6B">
        <w:rPr>
          <w:rFonts w:cs="Minion Pro"/>
          <w:color w:val="221E1F"/>
          <w:sz w:val="23"/>
          <w:szCs w:val="23"/>
          <w:highlight w:val="yellow"/>
        </w:rPr>
        <w:t>If the student withdraws any time within the “a” course, the written intent to return if not “b” must be “c’ because “d” is 56 days from the end of “a”</w:t>
      </w:r>
      <w:r w:rsidR="0051572E" w:rsidRPr="00551F6B">
        <w:rPr>
          <w:rFonts w:cs="Minion Pro"/>
          <w:color w:val="221E1F"/>
          <w:sz w:val="23"/>
          <w:szCs w:val="23"/>
          <w:highlight w:val="yellow"/>
        </w:rPr>
        <w:t>.</w:t>
      </w:r>
    </w:p>
    <w:p w:rsidR="0051572E" w:rsidRPr="00551F6B" w:rsidRDefault="0051572E">
      <w:pPr>
        <w:rPr>
          <w:rFonts w:cs="Minion Pro"/>
          <w:color w:val="221E1F"/>
          <w:sz w:val="23"/>
          <w:szCs w:val="23"/>
          <w:highlight w:val="yellow"/>
        </w:rPr>
      </w:pPr>
    </w:p>
    <w:p w:rsidR="0051572E" w:rsidRPr="00551F6B" w:rsidRDefault="0051572E">
      <w:pPr>
        <w:rPr>
          <w:rFonts w:cs="Minion Pro"/>
          <w:b/>
          <w:color w:val="221E1F"/>
          <w:sz w:val="23"/>
          <w:szCs w:val="23"/>
          <w:highlight w:val="yellow"/>
        </w:rPr>
      </w:pPr>
      <w:r w:rsidRPr="00551F6B">
        <w:rPr>
          <w:rFonts w:cs="Minion Pro"/>
          <w:b/>
          <w:color w:val="221E1F"/>
          <w:sz w:val="23"/>
          <w:szCs w:val="23"/>
          <w:highlight w:val="yellow"/>
        </w:rPr>
        <w:t>FINAL NOTE:</w:t>
      </w:r>
    </w:p>
    <w:p w:rsidR="0051572E" w:rsidRPr="00551F6B" w:rsidRDefault="0051572E">
      <w:pPr>
        <w:rPr>
          <w:rFonts w:cs="Minion Pro"/>
          <w:color w:val="221E1F"/>
          <w:sz w:val="23"/>
          <w:szCs w:val="23"/>
          <w:highlight w:val="yellow"/>
        </w:rPr>
      </w:pPr>
      <w:r w:rsidRPr="00551F6B">
        <w:rPr>
          <w:rFonts w:cs="Minion Pro"/>
          <w:color w:val="221E1F"/>
          <w:sz w:val="23"/>
          <w:szCs w:val="23"/>
          <w:highlight w:val="yellow"/>
        </w:rPr>
        <w:t>Cosmetology and barber progr</w:t>
      </w:r>
      <w:r w:rsidR="00A14718" w:rsidRPr="00551F6B">
        <w:rPr>
          <w:rFonts w:cs="Minion Pro"/>
          <w:color w:val="221E1F"/>
          <w:sz w:val="23"/>
          <w:szCs w:val="23"/>
          <w:highlight w:val="yellow"/>
        </w:rPr>
        <w:t xml:space="preserve">ams would not be affected by these changes since their courses are not provided by individual subjects, modules or courses.  Those </w:t>
      </w:r>
      <w:r w:rsidR="00976491" w:rsidRPr="00551F6B">
        <w:rPr>
          <w:rFonts w:cs="Minion Pro"/>
          <w:color w:val="221E1F"/>
          <w:sz w:val="23"/>
          <w:szCs w:val="23"/>
          <w:highlight w:val="yellow"/>
        </w:rPr>
        <w:t>programs</w:t>
      </w:r>
      <w:r w:rsidR="00A14718" w:rsidRPr="00551F6B">
        <w:rPr>
          <w:rFonts w:cs="Minion Pro"/>
          <w:color w:val="221E1F"/>
          <w:sz w:val="23"/>
          <w:szCs w:val="23"/>
          <w:highlight w:val="yellow"/>
        </w:rPr>
        <w:t xml:space="preserve"> follow state guidelines requiring subject matter completion.</w:t>
      </w:r>
    </w:p>
    <w:p w:rsidR="00A14718" w:rsidRPr="00551F6B" w:rsidRDefault="00A14718">
      <w:pPr>
        <w:rPr>
          <w:rFonts w:cs="Minion Pro"/>
          <w:color w:val="221E1F"/>
          <w:sz w:val="23"/>
          <w:szCs w:val="23"/>
          <w:highlight w:val="yellow"/>
        </w:rPr>
      </w:pPr>
    </w:p>
    <w:p w:rsidR="00A14718" w:rsidRPr="00551F6B" w:rsidRDefault="00A14718">
      <w:pPr>
        <w:rPr>
          <w:rFonts w:cs="Minion Pro"/>
          <w:color w:val="221E1F"/>
          <w:sz w:val="23"/>
          <w:szCs w:val="23"/>
          <w:highlight w:val="yellow"/>
        </w:rPr>
      </w:pPr>
      <w:r w:rsidRPr="00551F6B">
        <w:rPr>
          <w:rFonts w:cs="Minion Pro"/>
          <w:color w:val="221E1F"/>
          <w:sz w:val="23"/>
          <w:szCs w:val="23"/>
          <w:highlight w:val="yellow"/>
        </w:rPr>
        <w:t>Any other program degree or not-degree granting, term or not term will be subject to these changes if the payment period in which the student withdraw has modules, subjects or courses that do not span (last or have a duration) from the first day to the last day of the payment period.</w:t>
      </w:r>
    </w:p>
    <w:p w:rsidR="00A14718" w:rsidRPr="00551F6B" w:rsidRDefault="00A14718">
      <w:pPr>
        <w:rPr>
          <w:rFonts w:cs="Minion Pro"/>
          <w:color w:val="221E1F"/>
          <w:sz w:val="23"/>
          <w:szCs w:val="23"/>
          <w:highlight w:val="yellow"/>
        </w:rPr>
      </w:pPr>
    </w:p>
    <w:p w:rsidR="00A14718" w:rsidRPr="00551F6B" w:rsidRDefault="00A14718">
      <w:pPr>
        <w:rPr>
          <w:rFonts w:cs="Minion Pro"/>
          <w:b/>
          <w:i/>
          <w:color w:val="221E1F"/>
          <w:sz w:val="23"/>
          <w:szCs w:val="23"/>
          <w:highlight w:val="yellow"/>
          <w:u w:val="single"/>
        </w:rPr>
      </w:pPr>
      <w:r w:rsidRPr="00551F6B">
        <w:rPr>
          <w:rFonts w:cs="Minion Pro"/>
          <w:b/>
          <w:i/>
          <w:color w:val="221E1F"/>
          <w:sz w:val="23"/>
          <w:szCs w:val="23"/>
          <w:highlight w:val="yellow"/>
          <w:u w:val="single"/>
        </w:rPr>
        <w:t xml:space="preserve">For those courses depending on the individual student curricula and time of </w:t>
      </w:r>
      <w:r w:rsidR="00C43333" w:rsidRPr="00551F6B">
        <w:rPr>
          <w:rFonts w:cs="Minion Pro"/>
          <w:b/>
          <w:i/>
          <w:color w:val="221E1F"/>
          <w:sz w:val="23"/>
          <w:szCs w:val="23"/>
          <w:highlight w:val="yellow"/>
          <w:u w:val="single"/>
        </w:rPr>
        <w:t>withdrawing, the institution could be in a position to recalculate aid eligibility first, before a R2T4 is calculated.</w:t>
      </w:r>
    </w:p>
    <w:p w:rsidR="00A0794B" w:rsidRPr="00551F6B" w:rsidRDefault="00A0794B">
      <w:pPr>
        <w:rPr>
          <w:rFonts w:cs="Minion Pro"/>
          <w:color w:val="221E1F"/>
          <w:sz w:val="23"/>
          <w:szCs w:val="23"/>
          <w:highlight w:val="yellow"/>
        </w:rPr>
      </w:pPr>
    </w:p>
    <w:p w:rsidR="000617AC" w:rsidRPr="00551F6B" w:rsidRDefault="00C43333">
      <w:pPr>
        <w:rPr>
          <w:sz w:val="24"/>
          <w:szCs w:val="24"/>
          <w:highlight w:val="yellow"/>
        </w:rPr>
      </w:pPr>
      <w:r w:rsidRPr="00551F6B">
        <w:rPr>
          <w:sz w:val="24"/>
          <w:szCs w:val="24"/>
          <w:highlight w:val="yellow"/>
        </w:rPr>
        <w:t xml:space="preserve">We </w:t>
      </w:r>
      <w:r w:rsidR="002771B5" w:rsidRPr="00551F6B">
        <w:rPr>
          <w:sz w:val="24"/>
          <w:szCs w:val="24"/>
          <w:highlight w:val="yellow"/>
        </w:rPr>
        <w:t>need your assistance to determine if you have modules/subjects/courses shorter than your payment periods.</w:t>
      </w:r>
    </w:p>
    <w:p w:rsidR="002771B5" w:rsidRPr="00551F6B" w:rsidRDefault="002771B5">
      <w:pPr>
        <w:rPr>
          <w:sz w:val="24"/>
          <w:szCs w:val="24"/>
          <w:highlight w:val="yellow"/>
        </w:rPr>
      </w:pPr>
      <w:r w:rsidRPr="00551F6B">
        <w:rPr>
          <w:sz w:val="24"/>
          <w:szCs w:val="24"/>
          <w:highlight w:val="yellow"/>
        </w:rPr>
        <w:lastRenderedPageBreak/>
        <w:t xml:space="preserve">If no, that would be that all the subjects last the entire payment period no further action is would be needed.  May we please ask to reply to this email indicating that you do not have subjects shorter than your payment </w:t>
      </w:r>
      <w:proofErr w:type="gramStart"/>
      <w:r w:rsidRPr="00551F6B">
        <w:rPr>
          <w:sz w:val="24"/>
          <w:szCs w:val="24"/>
          <w:highlight w:val="yellow"/>
        </w:rPr>
        <w:t>period.</w:t>
      </w:r>
      <w:proofErr w:type="gramEnd"/>
    </w:p>
    <w:p w:rsidR="002771B5" w:rsidRPr="00551F6B" w:rsidRDefault="002771B5">
      <w:pPr>
        <w:rPr>
          <w:sz w:val="24"/>
          <w:szCs w:val="24"/>
          <w:highlight w:val="yellow"/>
        </w:rPr>
      </w:pPr>
    </w:p>
    <w:p w:rsidR="002771B5" w:rsidRPr="00551F6B" w:rsidRDefault="002771B5">
      <w:pPr>
        <w:rPr>
          <w:sz w:val="24"/>
          <w:szCs w:val="24"/>
          <w:highlight w:val="yellow"/>
        </w:rPr>
      </w:pPr>
      <w:r w:rsidRPr="00551F6B">
        <w:rPr>
          <w:sz w:val="24"/>
          <w:szCs w:val="24"/>
          <w:highlight w:val="yellow"/>
        </w:rPr>
        <w:t>IF YES, PLEASE PROVIDE US WITH THE FOLLOWING:</w:t>
      </w:r>
    </w:p>
    <w:p w:rsidR="002771B5" w:rsidRPr="00551F6B" w:rsidRDefault="002771B5">
      <w:pPr>
        <w:rPr>
          <w:sz w:val="24"/>
          <w:szCs w:val="24"/>
          <w:highlight w:val="yellow"/>
        </w:rPr>
      </w:pPr>
      <w:r w:rsidRPr="00551F6B">
        <w:rPr>
          <w:sz w:val="24"/>
          <w:szCs w:val="24"/>
          <w:highlight w:val="yellow"/>
        </w:rPr>
        <w:t>Active program name with subjects shorter than a payment period</w:t>
      </w:r>
    </w:p>
    <w:p w:rsidR="002771B5" w:rsidRPr="00551F6B" w:rsidRDefault="002771B5">
      <w:pPr>
        <w:rPr>
          <w:sz w:val="24"/>
          <w:szCs w:val="24"/>
          <w:highlight w:val="yellow"/>
        </w:rPr>
      </w:pPr>
      <w:r w:rsidRPr="00551F6B">
        <w:rPr>
          <w:sz w:val="24"/>
          <w:szCs w:val="24"/>
          <w:highlight w:val="yellow"/>
        </w:rPr>
        <w:t>List each subject providing the following for each subject</w:t>
      </w:r>
    </w:p>
    <w:p w:rsidR="00751AA0" w:rsidRPr="00551F6B" w:rsidRDefault="00751AA0" w:rsidP="00751AA0">
      <w:pPr>
        <w:tabs>
          <w:tab w:val="left" w:pos="2880"/>
          <w:tab w:val="left" w:pos="3600"/>
        </w:tabs>
        <w:ind w:left="360"/>
        <w:rPr>
          <w:sz w:val="24"/>
          <w:szCs w:val="24"/>
          <w:highlight w:val="yellow"/>
        </w:rPr>
      </w:pPr>
    </w:p>
    <w:tbl>
      <w:tblPr>
        <w:tblStyle w:val="TableGrid"/>
        <w:tblW w:w="0" w:type="auto"/>
        <w:tblInd w:w="360" w:type="dxa"/>
        <w:tblLook w:val="04A0"/>
      </w:tblPr>
      <w:tblGrid>
        <w:gridCol w:w="2809"/>
        <w:gridCol w:w="1259"/>
      </w:tblGrid>
      <w:tr w:rsidR="00751AA0" w:rsidRPr="00551F6B" w:rsidTr="00751AA0">
        <w:tc>
          <w:tcPr>
            <w:tcW w:w="2809" w:type="dxa"/>
          </w:tcPr>
          <w:p w:rsidR="00751AA0" w:rsidRPr="00551F6B" w:rsidRDefault="00751AA0" w:rsidP="00751AA0">
            <w:pPr>
              <w:rPr>
                <w:sz w:val="24"/>
                <w:szCs w:val="24"/>
                <w:highlight w:val="yellow"/>
              </w:rPr>
            </w:pPr>
            <w:r w:rsidRPr="00551F6B">
              <w:rPr>
                <w:sz w:val="24"/>
                <w:szCs w:val="24"/>
                <w:highlight w:val="yellow"/>
              </w:rPr>
              <w:t>Lecture Hours</w:t>
            </w:r>
          </w:p>
        </w:tc>
        <w:tc>
          <w:tcPr>
            <w:tcW w:w="1259" w:type="dxa"/>
          </w:tcPr>
          <w:p w:rsidR="00751AA0" w:rsidRPr="00551F6B" w:rsidRDefault="00751AA0" w:rsidP="00751AA0">
            <w:pPr>
              <w:rPr>
                <w:sz w:val="24"/>
                <w:szCs w:val="24"/>
                <w:highlight w:val="yellow"/>
              </w:rPr>
            </w:pPr>
          </w:p>
        </w:tc>
      </w:tr>
      <w:tr w:rsidR="00751AA0" w:rsidRPr="00551F6B" w:rsidTr="00751AA0">
        <w:tc>
          <w:tcPr>
            <w:tcW w:w="2809" w:type="dxa"/>
          </w:tcPr>
          <w:p w:rsidR="00751AA0" w:rsidRPr="00551F6B" w:rsidRDefault="00751AA0" w:rsidP="00751AA0">
            <w:pPr>
              <w:rPr>
                <w:sz w:val="24"/>
                <w:szCs w:val="24"/>
                <w:highlight w:val="yellow"/>
              </w:rPr>
            </w:pPr>
            <w:r w:rsidRPr="00551F6B">
              <w:rPr>
                <w:sz w:val="24"/>
                <w:szCs w:val="24"/>
                <w:highlight w:val="yellow"/>
              </w:rPr>
              <w:t>Lab/Clinic Hours</w:t>
            </w:r>
          </w:p>
        </w:tc>
        <w:tc>
          <w:tcPr>
            <w:tcW w:w="1259" w:type="dxa"/>
          </w:tcPr>
          <w:p w:rsidR="00751AA0" w:rsidRPr="00551F6B" w:rsidRDefault="00751AA0" w:rsidP="00751AA0">
            <w:pPr>
              <w:rPr>
                <w:sz w:val="24"/>
                <w:szCs w:val="24"/>
                <w:highlight w:val="yellow"/>
              </w:rPr>
            </w:pPr>
          </w:p>
        </w:tc>
      </w:tr>
      <w:tr w:rsidR="00751AA0" w:rsidRPr="00551F6B" w:rsidTr="00751AA0">
        <w:tc>
          <w:tcPr>
            <w:tcW w:w="2809" w:type="dxa"/>
          </w:tcPr>
          <w:p w:rsidR="00751AA0" w:rsidRPr="00551F6B" w:rsidRDefault="00751AA0" w:rsidP="00751AA0">
            <w:pPr>
              <w:rPr>
                <w:sz w:val="24"/>
                <w:szCs w:val="24"/>
                <w:highlight w:val="yellow"/>
              </w:rPr>
            </w:pPr>
            <w:r w:rsidRPr="00551F6B">
              <w:rPr>
                <w:sz w:val="24"/>
                <w:szCs w:val="24"/>
                <w:highlight w:val="yellow"/>
              </w:rPr>
              <w:t>Externship Hours</w:t>
            </w:r>
          </w:p>
        </w:tc>
        <w:tc>
          <w:tcPr>
            <w:tcW w:w="1259" w:type="dxa"/>
          </w:tcPr>
          <w:p w:rsidR="00751AA0" w:rsidRPr="00551F6B" w:rsidRDefault="00751AA0" w:rsidP="00751AA0">
            <w:pPr>
              <w:rPr>
                <w:sz w:val="24"/>
                <w:szCs w:val="24"/>
                <w:highlight w:val="yellow"/>
              </w:rPr>
            </w:pPr>
          </w:p>
        </w:tc>
      </w:tr>
      <w:tr w:rsidR="00751AA0" w:rsidRPr="00551F6B" w:rsidTr="00751AA0">
        <w:tc>
          <w:tcPr>
            <w:tcW w:w="2809" w:type="dxa"/>
          </w:tcPr>
          <w:p w:rsidR="00751AA0" w:rsidRPr="00551F6B" w:rsidRDefault="00751AA0" w:rsidP="00751AA0">
            <w:pPr>
              <w:rPr>
                <w:sz w:val="24"/>
                <w:szCs w:val="24"/>
                <w:highlight w:val="yellow"/>
              </w:rPr>
            </w:pPr>
            <w:r w:rsidRPr="00551F6B">
              <w:rPr>
                <w:sz w:val="24"/>
                <w:szCs w:val="24"/>
                <w:highlight w:val="yellow"/>
              </w:rPr>
              <w:t>Homework hours</w:t>
            </w:r>
          </w:p>
        </w:tc>
        <w:tc>
          <w:tcPr>
            <w:tcW w:w="1259" w:type="dxa"/>
          </w:tcPr>
          <w:p w:rsidR="00751AA0" w:rsidRPr="00551F6B" w:rsidRDefault="00751AA0" w:rsidP="00751AA0">
            <w:pPr>
              <w:rPr>
                <w:sz w:val="24"/>
                <w:szCs w:val="24"/>
                <w:highlight w:val="yellow"/>
              </w:rPr>
            </w:pPr>
          </w:p>
        </w:tc>
      </w:tr>
      <w:tr w:rsidR="00751AA0" w:rsidRPr="00551F6B" w:rsidTr="00751AA0">
        <w:tc>
          <w:tcPr>
            <w:tcW w:w="2809" w:type="dxa"/>
          </w:tcPr>
          <w:p w:rsidR="00751AA0" w:rsidRPr="00551F6B" w:rsidRDefault="00751AA0" w:rsidP="00751AA0">
            <w:pPr>
              <w:rPr>
                <w:sz w:val="24"/>
                <w:szCs w:val="24"/>
                <w:highlight w:val="yellow"/>
              </w:rPr>
            </w:pPr>
            <w:r w:rsidRPr="00551F6B">
              <w:rPr>
                <w:sz w:val="24"/>
                <w:szCs w:val="24"/>
                <w:highlight w:val="yellow"/>
              </w:rPr>
              <w:t>Total Hours</w:t>
            </w:r>
          </w:p>
        </w:tc>
        <w:tc>
          <w:tcPr>
            <w:tcW w:w="1259" w:type="dxa"/>
          </w:tcPr>
          <w:p w:rsidR="00751AA0" w:rsidRPr="00551F6B" w:rsidRDefault="00751AA0" w:rsidP="00751AA0">
            <w:pPr>
              <w:rPr>
                <w:sz w:val="24"/>
                <w:szCs w:val="24"/>
                <w:highlight w:val="yellow"/>
              </w:rPr>
            </w:pPr>
          </w:p>
        </w:tc>
      </w:tr>
      <w:tr w:rsidR="00751AA0" w:rsidRPr="00551F6B" w:rsidTr="00751AA0">
        <w:tc>
          <w:tcPr>
            <w:tcW w:w="2809" w:type="dxa"/>
          </w:tcPr>
          <w:p w:rsidR="00751AA0" w:rsidRPr="00551F6B" w:rsidRDefault="00751AA0" w:rsidP="00751AA0">
            <w:pPr>
              <w:rPr>
                <w:sz w:val="24"/>
                <w:szCs w:val="24"/>
                <w:highlight w:val="yellow"/>
              </w:rPr>
            </w:pPr>
            <w:r w:rsidRPr="00551F6B">
              <w:rPr>
                <w:sz w:val="24"/>
                <w:szCs w:val="24"/>
                <w:highlight w:val="yellow"/>
              </w:rPr>
              <w:t>Total credit hours</w:t>
            </w:r>
          </w:p>
        </w:tc>
        <w:tc>
          <w:tcPr>
            <w:tcW w:w="1259" w:type="dxa"/>
          </w:tcPr>
          <w:p w:rsidR="00751AA0" w:rsidRPr="00551F6B" w:rsidRDefault="00751AA0" w:rsidP="00751AA0">
            <w:pPr>
              <w:rPr>
                <w:sz w:val="24"/>
                <w:szCs w:val="24"/>
                <w:highlight w:val="yellow"/>
              </w:rPr>
            </w:pPr>
          </w:p>
        </w:tc>
      </w:tr>
    </w:tbl>
    <w:p w:rsidR="00751AA0" w:rsidRPr="00551F6B" w:rsidRDefault="00751AA0" w:rsidP="00751AA0">
      <w:pPr>
        <w:tabs>
          <w:tab w:val="left" w:pos="2880"/>
        </w:tabs>
        <w:rPr>
          <w:sz w:val="24"/>
          <w:szCs w:val="24"/>
          <w:highlight w:val="yellow"/>
        </w:rPr>
      </w:pPr>
    </w:p>
    <w:p w:rsidR="00751AA0" w:rsidRPr="00551F6B" w:rsidRDefault="00751AA0" w:rsidP="00751AA0">
      <w:pPr>
        <w:tabs>
          <w:tab w:val="left" w:pos="2880"/>
        </w:tabs>
        <w:rPr>
          <w:sz w:val="24"/>
          <w:szCs w:val="24"/>
          <w:highlight w:val="yellow"/>
        </w:rPr>
      </w:pPr>
      <w:r w:rsidRPr="00551F6B">
        <w:rPr>
          <w:sz w:val="24"/>
          <w:szCs w:val="24"/>
          <w:highlight w:val="yellow"/>
        </w:rPr>
        <w:t>Length of subject in Instructional weeks</w:t>
      </w:r>
      <w:r w:rsidRPr="00551F6B">
        <w:rPr>
          <w:sz w:val="24"/>
          <w:szCs w:val="24"/>
          <w:highlight w:val="yellow"/>
        </w:rPr>
        <w:tab/>
      </w:r>
    </w:p>
    <w:p w:rsidR="00751AA0" w:rsidRPr="00551F6B" w:rsidRDefault="00751AA0" w:rsidP="00751AA0">
      <w:pPr>
        <w:tabs>
          <w:tab w:val="left" w:pos="2880"/>
        </w:tabs>
        <w:rPr>
          <w:sz w:val="24"/>
          <w:szCs w:val="24"/>
          <w:highlight w:val="yellow"/>
        </w:rPr>
      </w:pPr>
    </w:p>
    <w:p w:rsidR="00751AA0" w:rsidRPr="00551F6B" w:rsidRDefault="00751AA0" w:rsidP="00751AA0">
      <w:pPr>
        <w:tabs>
          <w:tab w:val="left" w:pos="2880"/>
        </w:tabs>
        <w:rPr>
          <w:sz w:val="24"/>
          <w:szCs w:val="24"/>
          <w:highlight w:val="yellow"/>
        </w:rPr>
      </w:pPr>
      <w:r w:rsidRPr="00551F6B">
        <w:rPr>
          <w:sz w:val="24"/>
          <w:szCs w:val="24"/>
          <w:highlight w:val="yellow"/>
        </w:rPr>
        <w:t>Any Item that does not apply, please enter N/A</w:t>
      </w:r>
    </w:p>
    <w:p w:rsidR="00751AA0" w:rsidRPr="00551F6B" w:rsidRDefault="00751AA0" w:rsidP="00751AA0">
      <w:pPr>
        <w:tabs>
          <w:tab w:val="left" w:pos="2880"/>
        </w:tabs>
        <w:rPr>
          <w:sz w:val="24"/>
          <w:szCs w:val="24"/>
          <w:highlight w:val="yellow"/>
        </w:rPr>
      </w:pPr>
    </w:p>
    <w:p w:rsidR="00751AA0" w:rsidRDefault="00751AA0" w:rsidP="00751AA0">
      <w:pPr>
        <w:tabs>
          <w:tab w:val="left" w:pos="2880"/>
        </w:tabs>
        <w:rPr>
          <w:sz w:val="24"/>
          <w:szCs w:val="24"/>
        </w:rPr>
      </w:pPr>
      <w:r w:rsidRPr="00551F6B">
        <w:rPr>
          <w:sz w:val="24"/>
          <w:szCs w:val="24"/>
          <w:highlight w:val="yellow"/>
        </w:rPr>
        <w:t xml:space="preserve">The RGM system will use the data provided to calculate and recalculate </w:t>
      </w:r>
      <w:r w:rsidR="00551F6B" w:rsidRPr="00551F6B">
        <w:rPr>
          <w:sz w:val="24"/>
          <w:szCs w:val="24"/>
          <w:highlight w:val="yellow"/>
        </w:rPr>
        <w:t>student eligibility and R2T4</w:t>
      </w:r>
    </w:p>
    <w:p w:rsidR="00751AA0" w:rsidRDefault="00751AA0" w:rsidP="00751AA0">
      <w:pPr>
        <w:tabs>
          <w:tab w:val="left" w:pos="2880"/>
        </w:tabs>
        <w:ind w:left="360"/>
        <w:rPr>
          <w:sz w:val="24"/>
          <w:szCs w:val="24"/>
        </w:rPr>
      </w:pPr>
    </w:p>
    <w:p w:rsidR="00751AA0" w:rsidRPr="006F6481" w:rsidRDefault="00751AA0" w:rsidP="00751AA0">
      <w:pPr>
        <w:tabs>
          <w:tab w:val="left" w:pos="2880"/>
        </w:tabs>
        <w:ind w:left="360"/>
        <w:rPr>
          <w:sz w:val="24"/>
          <w:szCs w:val="24"/>
        </w:rPr>
      </w:pPr>
    </w:p>
    <w:sectPr w:rsidR="00751AA0" w:rsidRPr="006F6481" w:rsidSect="00941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F6481"/>
    <w:rsid w:val="00002988"/>
    <w:rsid w:val="000617AC"/>
    <w:rsid w:val="00071204"/>
    <w:rsid w:val="002263DA"/>
    <w:rsid w:val="002771B5"/>
    <w:rsid w:val="0041778D"/>
    <w:rsid w:val="0051572E"/>
    <w:rsid w:val="00551F6B"/>
    <w:rsid w:val="00593B8C"/>
    <w:rsid w:val="00652829"/>
    <w:rsid w:val="006D34D6"/>
    <w:rsid w:val="006F6481"/>
    <w:rsid w:val="00712582"/>
    <w:rsid w:val="00751AA0"/>
    <w:rsid w:val="00773AC3"/>
    <w:rsid w:val="00856126"/>
    <w:rsid w:val="008F649D"/>
    <w:rsid w:val="00941409"/>
    <w:rsid w:val="00976491"/>
    <w:rsid w:val="00995048"/>
    <w:rsid w:val="009B4521"/>
    <w:rsid w:val="00A0794B"/>
    <w:rsid w:val="00A14718"/>
    <w:rsid w:val="00AB2016"/>
    <w:rsid w:val="00AC3BB3"/>
    <w:rsid w:val="00AF54FC"/>
    <w:rsid w:val="00B000E4"/>
    <w:rsid w:val="00C43333"/>
    <w:rsid w:val="00EE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002988"/>
    <w:pPr>
      <w:autoSpaceDE w:val="0"/>
      <w:autoSpaceDN w:val="0"/>
      <w:adjustRightInd w:val="0"/>
      <w:spacing w:line="281" w:lineRule="atLeast"/>
    </w:pPr>
    <w:rPr>
      <w:rFonts w:ascii="Myriad Pro" w:hAnsi="Myriad Pro"/>
      <w:sz w:val="24"/>
      <w:szCs w:val="24"/>
    </w:rPr>
  </w:style>
  <w:style w:type="paragraph" w:customStyle="1" w:styleId="Pa22">
    <w:name w:val="Pa22"/>
    <w:basedOn w:val="Normal"/>
    <w:next w:val="Normal"/>
    <w:uiPriority w:val="99"/>
    <w:rsid w:val="006D34D6"/>
    <w:pPr>
      <w:autoSpaceDE w:val="0"/>
      <w:autoSpaceDN w:val="0"/>
      <w:adjustRightInd w:val="0"/>
      <w:spacing w:line="261" w:lineRule="atLeast"/>
    </w:pPr>
    <w:rPr>
      <w:rFonts w:ascii="Myriad Pro Light" w:hAnsi="Myriad Pro Light"/>
      <w:sz w:val="24"/>
      <w:szCs w:val="24"/>
    </w:rPr>
  </w:style>
  <w:style w:type="paragraph" w:customStyle="1" w:styleId="Pa43">
    <w:name w:val="Pa43"/>
    <w:basedOn w:val="Normal"/>
    <w:next w:val="Normal"/>
    <w:uiPriority w:val="99"/>
    <w:rsid w:val="009B4521"/>
    <w:pPr>
      <w:autoSpaceDE w:val="0"/>
      <w:autoSpaceDN w:val="0"/>
      <w:adjustRightInd w:val="0"/>
      <w:spacing w:line="231" w:lineRule="atLeast"/>
    </w:pPr>
    <w:rPr>
      <w:rFonts w:ascii="Myriad Pro Light" w:hAnsi="Myriad Pro Light"/>
      <w:sz w:val="24"/>
      <w:szCs w:val="24"/>
    </w:rPr>
  </w:style>
  <w:style w:type="paragraph" w:customStyle="1" w:styleId="Pa24">
    <w:name w:val="Pa24"/>
    <w:basedOn w:val="Normal"/>
    <w:next w:val="Normal"/>
    <w:uiPriority w:val="99"/>
    <w:rsid w:val="009B4521"/>
    <w:pPr>
      <w:autoSpaceDE w:val="0"/>
      <w:autoSpaceDN w:val="0"/>
      <w:adjustRightInd w:val="0"/>
      <w:spacing w:line="231" w:lineRule="atLeast"/>
    </w:pPr>
    <w:rPr>
      <w:rFonts w:ascii="Myriad Pro Light" w:hAnsi="Myriad Pro Light"/>
      <w:sz w:val="24"/>
      <w:szCs w:val="24"/>
    </w:rPr>
  </w:style>
  <w:style w:type="character" w:customStyle="1" w:styleId="A9">
    <w:name w:val="A9"/>
    <w:uiPriority w:val="99"/>
    <w:rsid w:val="009B4521"/>
    <w:rPr>
      <w:rFonts w:ascii="Minion Pro" w:hAnsi="Minion Pro" w:cs="Minion Pro"/>
      <w:color w:val="221E1F"/>
      <w:sz w:val="23"/>
      <w:szCs w:val="23"/>
    </w:rPr>
  </w:style>
  <w:style w:type="paragraph" w:customStyle="1" w:styleId="Pa23">
    <w:name w:val="Pa23"/>
    <w:basedOn w:val="Normal"/>
    <w:next w:val="Normal"/>
    <w:uiPriority w:val="99"/>
    <w:rsid w:val="00593B8C"/>
    <w:pPr>
      <w:autoSpaceDE w:val="0"/>
      <w:autoSpaceDN w:val="0"/>
      <w:adjustRightInd w:val="0"/>
      <w:spacing w:line="281" w:lineRule="atLeast"/>
    </w:pPr>
    <w:rPr>
      <w:rFonts w:ascii="Myriad Pro Light" w:hAnsi="Myriad Pro Light"/>
      <w:sz w:val="24"/>
      <w:szCs w:val="24"/>
    </w:rPr>
  </w:style>
  <w:style w:type="paragraph" w:customStyle="1" w:styleId="Pa44">
    <w:name w:val="Pa44"/>
    <w:basedOn w:val="Normal"/>
    <w:next w:val="Normal"/>
    <w:uiPriority w:val="99"/>
    <w:rsid w:val="00593B8C"/>
    <w:pPr>
      <w:autoSpaceDE w:val="0"/>
      <w:autoSpaceDN w:val="0"/>
      <w:adjustRightInd w:val="0"/>
      <w:spacing w:line="241" w:lineRule="atLeast"/>
    </w:pPr>
    <w:rPr>
      <w:rFonts w:ascii="Myriad Pro Light" w:hAnsi="Myriad Pro Light"/>
      <w:sz w:val="24"/>
      <w:szCs w:val="24"/>
    </w:rPr>
  </w:style>
  <w:style w:type="paragraph" w:customStyle="1" w:styleId="Pa35">
    <w:name w:val="Pa35"/>
    <w:basedOn w:val="Normal"/>
    <w:next w:val="Normal"/>
    <w:uiPriority w:val="99"/>
    <w:rsid w:val="00593B8C"/>
    <w:pPr>
      <w:autoSpaceDE w:val="0"/>
      <w:autoSpaceDN w:val="0"/>
      <w:adjustRightInd w:val="0"/>
      <w:spacing w:line="231" w:lineRule="atLeast"/>
    </w:pPr>
    <w:rPr>
      <w:rFonts w:ascii="Myriad Pro Light" w:hAnsi="Myriad Pro Light"/>
      <w:sz w:val="24"/>
      <w:szCs w:val="24"/>
    </w:rPr>
  </w:style>
  <w:style w:type="table" w:styleId="TableGrid">
    <w:name w:val="Table Grid"/>
    <w:basedOn w:val="TableNormal"/>
    <w:uiPriority w:val="59"/>
    <w:rsid w:val="00A079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0007-F7C8-4754-BCF6-8DC6AB63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rmgonzalez</dc:creator>
  <cp:lastModifiedBy>rmgonzalez</cp:lastModifiedBy>
  <cp:revision>4</cp:revision>
  <dcterms:created xsi:type="dcterms:W3CDTF">2012-01-23T18:51:00Z</dcterms:created>
  <dcterms:modified xsi:type="dcterms:W3CDTF">2012-01-25T22:03:00Z</dcterms:modified>
</cp:coreProperties>
</file>